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ASMENS DUOMENŲ TVARKYMO SĄLYGOS</w:t>
      </w:r>
    </w:p>
    <w:p>
      <w:pPr>
        <w:pStyle w:val="Normal"/>
        <w:rPr/>
      </w:pPr>
      <w:r>
        <w:rPr>
          <w:b/>
          <w:bCs/>
        </w:rPr>
        <w:t>1. APIBRĖŽIMAI</w:t>
      </w:r>
    </w:p>
    <w:p>
      <w:pPr>
        <w:pStyle w:val="Normal"/>
        <w:rPr/>
      </w:pPr>
      <w:r>
        <w:rPr/>
        <w:t>Šiame Priede vartojami terminai turi tokią pačią reikšmę kaip ir BDAR:</w:t>
      </w:r>
    </w:p>
    <w:p>
      <w:pPr>
        <w:pStyle w:val="Normal"/>
        <w:numPr>
          <w:ilvl w:val="0"/>
          <w:numId w:val="1"/>
        </w:numPr>
        <w:rPr/>
      </w:pPr>
      <w:r>
        <w:rPr>
          <w:b/>
          <w:bCs/>
        </w:rPr>
        <w:t>DV (Duomenų valdytojas)</w:t>
      </w:r>
      <w:r>
        <w:rPr/>
        <w:t> – Klientas</w:t>
      </w:r>
    </w:p>
    <w:p>
      <w:pPr>
        <w:pStyle w:val="Normal"/>
        <w:numPr>
          <w:ilvl w:val="0"/>
          <w:numId w:val="1"/>
        </w:numPr>
        <w:rPr/>
      </w:pPr>
      <w:r>
        <w:rPr>
          <w:b/>
          <w:bCs/>
        </w:rPr>
        <w:t>DT (Duomenų tvarkytojas)</w:t>
      </w:r>
      <w:r>
        <w:rPr/>
        <w:t> – Paslaugų teikėjas (MB "Tavo pelnas")</w:t>
      </w:r>
    </w:p>
    <w:p>
      <w:pPr>
        <w:pStyle w:val="Normal"/>
        <w:numPr>
          <w:ilvl w:val="0"/>
          <w:numId w:val="1"/>
        </w:numPr>
        <w:rPr/>
      </w:pPr>
      <w:r>
        <w:rPr>
          <w:b/>
          <w:bCs/>
        </w:rPr>
        <w:t>BDAR</w:t>
      </w:r>
      <w:r>
        <w:rPr/>
        <w:t> – Bendrasis duomenų apsaugos reglamentas (ES) 2016/679</w:t>
      </w:r>
    </w:p>
    <w:p>
      <w:pPr>
        <w:pStyle w:val="Normal"/>
        <w:numPr>
          <w:ilvl w:val="0"/>
          <w:numId w:val="1"/>
        </w:numPr>
        <w:rPr/>
      </w:pPr>
      <w:r>
        <w:rPr>
          <w:b/>
          <w:bCs/>
        </w:rPr>
        <w:t>Asmens duomenys</w:t>
      </w:r>
      <w:r>
        <w:rPr/>
        <w:t> – bet kokia informacija apie identifikuotą arba identifikuojamą fizinį asmenį</w:t>
      </w:r>
    </w:p>
    <w:p>
      <w:pPr>
        <w:pStyle w:val="Normal"/>
        <w:numPr>
          <w:ilvl w:val="0"/>
          <w:numId w:val="1"/>
        </w:numPr>
        <w:rPr/>
      </w:pPr>
      <w:r>
        <w:rPr>
          <w:b/>
          <w:bCs/>
        </w:rPr>
        <w:t>Subtvarkytojas</w:t>
      </w:r>
      <w:r>
        <w:rPr/>
        <w:t> – trečioji šalis, kurią pasitelkia DT Asmens duomenims tvarkyti DV vardu</w:t>
      </w:r>
    </w:p>
    <w:p>
      <w:pPr>
        <w:pStyle w:val="Normal"/>
        <w:rPr/>
      </w:pPr>
      <w:r>
        <w:rPr>
          <w:b/>
          <w:bCs/>
        </w:rPr>
        <w:t>2. TEISĖS AKTAI</w:t>
      </w:r>
    </w:p>
    <w:p>
      <w:pPr>
        <w:pStyle w:val="Normal"/>
        <w:rPr/>
      </w:pPr>
      <w:r>
        <w:rPr/>
        <w:t>2.1. Šis Priedas užtikrina, kad DT veiksmai atitiktų visus galiojančius duomenų apsaugos ir privatumo reikalavimus, įskaitant, bet neapsiribojant, BDAR ir Lietuvos Respublikos asmens duomenų teisinės apsaugos įstatymą.</w:t>
      </w:r>
    </w:p>
    <w:p>
      <w:pPr>
        <w:pStyle w:val="Normal"/>
        <w:rPr/>
      </w:pPr>
      <w:r>
        <w:rPr>
          <w:b/>
          <w:bCs/>
        </w:rPr>
        <w:t>3. ASMENS DUOMENŲ TVARKYMO TIKSLAS IR TAIKYMAS</w:t>
      </w:r>
    </w:p>
    <w:p>
      <w:pPr>
        <w:pStyle w:val="Normal"/>
        <w:rPr/>
      </w:pPr>
      <w:r>
        <w:rPr/>
        <w:t>3.1. Asmens duomenų tvarkymo tikslas – teikti buhalterines apskaitos paslaugas pagal Pagrindinę Sutartį.</w:t>
      </w:r>
    </w:p>
    <w:p>
      <w:pPr>
        <w:pStyle w:val="Normal"/>
        <w:rPr/>
      </w:pPr>
      <w:r>
        <w:rPr/>
        <w:t>3.2. DT vardu DV tvarkys Asmens duomenis, kuriuos DV teikia arba kurie perduodami DT vykdant Paslaugas.</w:t>
      </w:r>
    </w:p>
    <w:p>
      <w:pPr>
        <w:pStyle w:val="Normal"/>
        <w:rPr/>
      </w:pPr>
      <w:r>
        <w:rPr/>
        <w:t>3.3. Tvarkomi Asmens duomenų tipai ir kategorijos išsamiai aprašyti </w:t>
      </w:r>
      <w:r>
        <w:rPr>
          <w:b/>
          <w:bCs/>
        </w:rPr>
        <w:t>šio Priedo 1 priede</w:t>
      </w:r>
      <w:r>
        <w:rPr/>
        <w:t>, kuris yra neatsiejama šio Priedo dalis.</w:t>
      </w:r>
    </w:p>
    <w:p>
      <w:pPr>
        <w:pStyle w:val="Normal"/>
        <w:rPr/>
      </w:pPr>
      <w:r>
        <w:rPr/>
        <w:t>3.4. DT įsipareigoja tvarkyti Asmens duomenis laikydamasis BDAR 32 straipsnyje nustatytų techninių ir organizacinių saugumo priemonių.</w:t>
      </w:r>
    </w:p>
    <w:p>
      <w:pPr>
        <w:pStyle w:val="Normal"/>
        <w:rPr/>
      </w:pPr>
      <w:r>
        <w:rPr>
          <w:b/>
          <w:bCs/>
        </w:rPr>
        <w:t>4. DV NURODYMAI</w:t>
      </w:r>
    </w:p>
    <w:p>
      <w:pPr>
        <w:pStyle w:val="Normal"/>
        <w:rPr/>
      </w:pPr>
      <w:r>
        <w:rPr/>
        <w:t>4.1. DT tvarko Asmens duomenis tik vadovaudamasis DV raštiškais nurodymais (Instrukcijomis), nebent įstatymas reikalauja veikti kitaip. Esminiai nurodymai yra pati Pagrindinė Sutartis ir šis Priedas.</w:t>
      </w:r>
    </w:p>
    <w:p>
      <w:pPr>
        <w:pStyle w:val="Normal"/>
        <w:rPr/>
      </w:pPr>
      <w:r>
        <w:rPr/>
        <w:t>4.2. DV atsako už tai, kad teikiami Asmens duomenys būtų teisėtai renkami, tikslūs ir tvarkytini konkrečiam tikslui.</w:t>
      </w:r>
    </w:p>
    <w:p>
      <w:pPr>
        <w:pStyle w:val="Normal"/>
        <w:rPr/>
      </w:pPr>
      <w:r>
        <w:rPr/>
        <w:t>4.3. Jei DT mano, kad DV nurodymas pažeidžia Taikytiną Teisę, jis apie tai nedelsdamas praneša DV ir negali vykdyti tokio nurodymo, kol jis nebus patvirtintas ar pakeistas.</w:t>
      </w:r>
    </w:p>
    <w:p>
      <w:pPr>
        <w:pStyle w:val="Normal"/>
        <w:rPr/>
      </w:pPr>
      <w:r>
        <w:rPr>
          <w:b/>
          <w:bCs/>
        </w:rPr>
        <w:t>5. DT ĮSIPAREIGOJIMAI</w:t>
      </w:r>
    </w:p>
    <w:p>
      <w:pPr>
        <w:pStyle w:val="Normal"/>
        <w:rPr/>
      </w:pPr>
      <w:r>
        <w:rPr>
          <w:b/>
          <w:bCs/>
        </w:rPr>
        <w:t>5.1. Konfidencialumas ir prieiga</w:t>
      </w:r>
    </w:p>
    <w:p>
      <w:pPr>
        <w:pStyle w:val="Normal"/>
        <w:numPr>
          <w:ilvl w:val="0"/>
          <w:numId w:val="2"/>
        </w:numPr>
        <w:rPr/>
      </w:pPr>
      <w:r>
        <w:rPr/>
        <w:t>DT laiko visus Asmens duomenis griežtai konfidencialiais.</w:t>
      </w:r>
    </w:p>
    <w:p>
      <w:pPr>
        <w:pStyle w:val="Normal"/>
        <w:numPr>
          <w:ilvl w:val="0"/>
          <w:numId w:val="2"/>
        </w:numPr>
        <w:rPr/>
      </w:pPr>
      <w:r>
        <w:rPr/>
        <w:t>Prieiga prie Asmens duomenų suteikiama tik tiems DT darbuotojams, kuriems tai yra būtina Paslaugų teikimui.</w:t>
      </w:r>
    </w:p>
    <w:p>
      <w:pPr>
        <w:pStyle w:val="Normal"/>
        <w:numPr>
          <w:ilvl w:val="0"/>
          <w:numId w:val="2"/>
        </w:numPr>
        <w:rPr/>
      </w:pPr>
      <w:r>
        <w:rPr/>
        <w:t>Su visais darbuotojais, turinčiais prieigą prie Asmens duomenų, sudaromi konfidencialumo susitarimai.</w:t>
      </w:r>
    </w:p>
    <w:p>
      <w:pPr>
        <w:pStyle w:val="Normal"/>
        <w:rPr/>
      </w:pPr>
      <w:r>
        <w:rPr>
          <w:b/>
          <w:bCs/>
        </w:rPr>
        <w:t>5.2. Saugumo priemonės</w:t>
      </w:r>
    </w:p>
    <w:p>
      <w:pPr>
        <w:pStyle w:val="Normal"/>
        <w:numPr>
          <w:ilvl w:val="0"/>
          <w:numId w:val="3"/>
        </w:numPr>
        <w:rPr/>
      </w:pPr>
      <w:r>
        <w:rPr/>
        <w:t>DT įgyvendina ir palaiko tinkamas technines bei organizacines priemones, kad užtikrintų Asmens duomenų saugumą. Tai apima, bet neapsiriboja: duomenų šifravimu perdavimo metu (HTTPS, TLS); prieigos kontrolės sistema (slaptažodžiai, dviejų faktorių autentifikacija); reguliariu atsarginių kopijų kūrimu; ugniasienėmis ir apsauga nuo kenkėjiškų programų; patalpų fizinės apsaugos priemonėmis.</w:t>
      </w:r>
    </w:p>
    <w:p>
      <w:pPr>
        <w:pStyle w:val="Normal"/>
        <w:numPr>
          <w:ilvl w:val="0"/>
          <w:numId w:val="3"/>
        </w:numPr>
        <w:rPr/>
      </w:pPr>
      <w:r>
        <w:rPr/>
        <w:t>DT gali atnaujinti savo saugumo priemones, jei tai nepablogina bendro apsaugos lygio.</w:t>
      </w:r>
    </w:p>
    <w:p>
      <w:pPr>
        <w:pStyle w:val="Normal"/>
        <w:rPr/>
      </w:pPr>
      <w:r>
        <w:rPr>
          <w:b/>
          <w:bCs/>
        </w:rPr>
        <w:t>5.3. Pagalba DV</w:t>
      </w:r>
    </w:p>
    <w:p>
      <w:pPr>
        <w:pStyle w:val="Normal"/>
        <w:numPr>
          <w:ilvl w:val="0"/>
          <w:numId w:val="4"/>
        </w:numPr>
        <w:rPr/>
      </w:pPr>
      <w:r>
        <w:rPr/>
        <w:t>Gavęs DV prašymą, DT padeda DV užtikrinti, kad būtų laikomasi BDAR reikalavimų, įskaitant: atsakymus į duomenų subjektų prašymus (BDAR 12-23 str.); duomenų apsaugos poveikio vertinimus (BDAR 35 str.); išankstines konsultacijas su priežiūros institucija (BDAR 36 str.).</w:t>
      </w:r>
    </w:p>
    <w:p>
      <w:pPr>
        <w:pStyle w:val="Normal"/>
        <w:numPr>
          <w:ilvl w:val="0"/>
          <w:numId w:val="4"/>
        </w:numPr>
        <w:rPr/>
      </w:pPr>
      <w:r>
        <w:rPr/>
        <w:t>DT pateiks reikiamą informaciją per protingą terminą, ne vėliau kaip per 14 kalendorinių dienų.</w:t>
      </w:r>
    </w:p>
    <w:p>
      <w:pPr>
        <w:pStyle w:val="Normal"/>
        <w:rPr/>
      </w:pPr>
      <w:r>
        <w:rPr>
          <w:b/>
          <w:bCs/>
        </w:rPr>
        <w:t>5.4. Duomenų saugumo pažeidimai</w:t>
      </w:r>
    </w:p>
    <w:p>
      <w:pPr>
        <w:pStyle w:val="Normal"/>
        <w:numPr>
          <w:ilvl w:val="0"/>
          <w:numId w:val="5"/>
        </w:numPr>
        <w:rPr/>
      </w:pPr>
      <w:r>
        <w:rPr/>
        <w:t>DT nedelsdamas (ne vėliau kaip per 48 valandas nuo sužinojimo) praneša DV apie bet kokį nustatytą Asmens duomenų saugumo pažeidimą.</w:t>
      </w:r>
    </w:p>
    <w:p>
      <w:pPr>
        <w:pStyle w:val="Normal"/>
        <w:numPr>
          <w:ilvl w:val="0"/>
          <w:numId w:val="5"/>
        </w:numPr>
        <w:rPr/>
      </w:pPr>
      <w:r>
        <w:rPr/>
        <w:t>Pranešime pateikiama: pažeidimo pobūdis, paveiktų duomenų kategorijos, galimos pasekmės, numatytos arba jau įgyvendintos priemonės.</w:t>
      </w:r>
    </w:p>
    <w:p>
      <w:pPr>
        <w:pStyle w:val="Normal"/>
        <w:numPr>
          <w:ilvl w:val="0"/>
          <w:numId w:val="5"/>
        </w:numPr>
        <w:rPr/>
      </w:pPr>
      <w:r>
        <w:rPr/>
        <w:t>DT imsis visų pagrįstų priemonių, kad nustatytų pažeidimo priežastį ir užkirstų kelią jo pasikartojimui.</w:t>
      </w:r>
    </w:p>
    <w:p>
      <w:pPr>
        <w:pStyle w:val="Normal"/>
        <w:rPr/>
      </w:pPr>
      <w:r>
        <w:rPr>
          <w:b/>
          <w:bCs/>
        </w:rPr>
        <w:t>5.5. Auditas ir peržiūros</w:t>
      </w:r>
    </w:p>
    <w:p>
      <w:pPr>
        <w:pStyle w:val="Normal"/>
        <w:numPr>
          <w:ilvl w:val="0"/>
          <w:numId w:val="6"/>
        </w:numPr>
        <w:rPr/>
      </w:pPr>
      <w:r>
        <w:rPr/>
        <w:t>DV turi teisę ne dažniau kaip kartą per metus prašyti atlikti DT veiklos, susijusios su Asmens duomenų tvarkymu, auditą. Apie auditą pranešama ne mažiau kaip 30 dienų iš anksto.</w:t>
      </w:r>
    </w:p>
    <w:p>
      <w:pPr>
        <w:pStyle w:val="Normal"/>
        <w:numPr>
          <w:ilvl w:val="0"/>
          <w:numId w:val="6"/>
        </w:numPr>
        <w:rPr/>
      </w:pPr>
      <w:r>
        <w:rPr/>
        <w:t>Auditas atliekamas DV sąskaita, jei šalys nesusitaria kitaip.</w:t>
      </w:r>
    </w:p>
    <w:p>
      <w:pPr>
        <w:pStyle w:val="Normal"/>
        <w:numPr>
          <w:ilvl w:val="0"/>
          <w:numId w:val="6"/>
        </w:numPr>
        <w:rPr/>
      </w:pPr>
      <w:r>
        <w:rPr/>
        <w:t>Auditas negali sutrikdyti DT normalios veiklos. Prieš jį gali būti reikalaujama pasirašyti papildomą konfidencialumo susitarimą.</w:t>
      </w:r>
    </w:p>
    <w:p>
      <w:pPr>
        <w:pStyle w:val="Normal"/>
        <w:rPr/>
      </w:pPr>
      <w:r>
        <w:rPr>
          <w:b/>
          <w:bCs/>
        </w:rPr>
        <w:t>5.6. Duomenų perdavimas už EEE ribų</w:t>
      </w:r>
    </w:p>
    <w:p>
      <w:pPr>
        <w:pStyle w:val="Normal"/>
        <w:numPr>
          <w:ilvl w:val="0"/>
          <w:numId w:val="7"/>
        </w:numPr>
        <w:rPr/>
      </w:pPr>
      <w:r>
        <w:rPr/>
        <w:t>Jei DT planuoja ar privalo perduoti Asmens duomenis į šalį už Europos ekonominės erdvės (EEE) ribų, tai bus daroma tik laikantis BDAR V skyriaus reikalavimų.</w:t>
      </w:r>
    </w:p>
    <w:p>
      <w:pPr>
        <w:pStyle w:val="Normal"/>
        <w:numPr>
          <w:ilvl w:val="0"/>
          <w:numId w:val="7"/>
        </w:numPr>
        <w:rPr/>
      </w:pPr>
      <w:r>
        <w:rPr/>
        <w:t>Šiuo metu DT naudoja šiuos subtvarkytojus, kurie gali būti įsikūrę už EEE ribų (pvz., JAV): Microsoft Ireland Operations Ltd. (debesijos paslaugos) – taikomos ES standartinės sutarčių sąlygos; Google Ireland Ltd. (el. pašto paslaugos, dokumentų saugojimas) – taikomos ES standartinės sutarčių sąlygos.</w:t>
      </w:r>
    </w:p>
    <w:p>
      <w:pPr>
        <w:pStyle w:val="Normal"/>
        <w:numPr>
          <w:ilvl w:val="0"/>
          <w:numId w:val="7"/>
        </w:numPr>
        <w:rPr/>
      </w:pPr>
      <w:r>
        <w:rPr/>
        <w:t>DT užtikrina, kad tokiems perdavimams būtų taikomos tinkamos apsaugos priemonės (pvz., ES standartinės sutarčių sąlygos).</w:t>
      </w:r>
    </w:p>
    <w:p>
      <w:pPr>
        <w:pStyle w:val="Normal"/>
        <w:rPr/>
      </w:pPr>
      <w:r>
        <w:rPr>
          <w:b/>
          <w:bCs/>
        </w:rPr>
        <w:t>6. SUBTVARKYTOJAI</w:t>
      </w:r>
    </w:p>
    <w:p>
      <w:pPr>
        <w:pStyle w:val="Normal"/>
        <w:rPr/>
      </w:pPr>
      <w:r>
        <w:rPr/>
        <w:t>6.1. DV sutinka, kad DT gali įtraukti Subtvarkytojus, reikalingus Paslaugų teikimui (pvz., duomenų saugyklos, debesų paslaugų teikėjus, el. pašto serverius).</w:t>
      </w:r>
    </w:p>
    <w:p>
      <w:pPr>
        <w:pStyle w:val="Normal"/>
        <w:rPr/>
      </w:pPr>
      <w:r>
        <w:rPr/>
        <w:t>6.2. Bendrasis subtvarkytojų sąrašas (gali būti atnaujinamas): Microsoft Ireland Operations Ltd. (debesijos platforma); Google Ireland Ltd. (el. paštas, dokumentai).</w:t>
      </w:r>
    </w:p>
    <w:p>
      <w:pPr>
        <w:pStyle w:val="Normal"/>
        <w:rPr/>
      </w:pPr>
      <w:r>
        <w:rPr/>
        <w:t>6.3. DT pasirinks tik tuos Subtvarkytojus, kurie gali užtikrinti pakankamas duomenų apsaugos garantijas. Su kiekvienu Subtvarkytoju bus sudaryta rašytinė sutartis, įpareigojanti jį laikytis ne mažesnių apsaugos įsipareigojimų nei šiame Priede.</w:t>
      </w:r>
    </w:p>
    <w:p>
      <w:pPr>
        <w:pStyle w:val="Normal"/>
        <w:rPr/>
      </w:pPr>
      <w:r>
        <w:rPr/>
        <w:t>6.4. DT išlaiko visišką atsakomybę prieš DV už Subtvarkytojų veiksmus, lyg tai būtų paties DT veiksmai.</w:t>
      </w:r>
    </w:p>
    <w:p>
      <w:pPr>
        <w:pStyle w:val="Normal"/>
        <w:rPr/>
      </w:pPr>
      <w:r>
        <w:rPr>
          <w:b/>
          <w:bCs/>
        </w:rPr>
        <w:t>7. PABAIGOS IR PERĖJIMO NUOSTATOS</w:t>
      </w:r>
    </w:p>
    <w:p>
      <w:pPr>
        <w:pStyle w:val="Normal"/>
        <w:rPr/>
      </w:pPr>
      <w:r>
        <w:rPr/>
        <w:t>7.1. Šis Priedas galioja tiek pat, kiek ir Pagrindinė Sutartis.</w:t>
      </w:r>
    </w:p>
    <w:p>
      <w:pPr>
        <w:pStyle w:val="Normal"/>
        <w:rPr/>
      </w:pPr>
      <w:r>
        <w:rPr/>
        <w:t>7.2. Pasibaigus ar nutraukus Sutartį, DT, gavęs raštišką DV nurodymą, grąžins arba sunaikins visus Asmens duomenis, kuriuos jis tvarko DV vardu. Ši prievolė netaikoma, jei DT pagal įstatymą privalo išsaugoti duomenis tam tikrą laikotarpį (pvz., Buhalterinės apskaitos įstatymas numato 10 metų saugojimą).</w:t>
      </w:r>
    </w:p>
    <w:p>
      <w:pPr>
        <w:pStyle w:val="Normal"/>
        <w:rPr/>
      </w:pPr>
      <w:r>
        <w:rPr/>
        <w:t>7.3. Jei po Sutarties pabaigos DV pageidauja, kad DT tęstų duomenų saugojimą ilgiau, nei reikalauja įstatymai, toks saugojimas gali būti apmokestinamas pagal atskirai suderintą kainoraštį.</w:t>
      </w:r>
    </w:p>
    <w:p>
      <w:pPr>
        <w:pStyle w:val="Normal"/>
        <w:rPr/>
      </w:pPr>
      <w:r>
        <w:rPr>
          <w:b/>
          <w:bCs/>
        </w:rPr>
        <w:t>8. ELEKTRONINIS PATVIRTINIMAS</w:t>
      </w:r>
    </w:p>
    <w:p>
      <w:pPr>
        <w:pStyle w:val="Normal"/>
        <w:rPr/>
      </w:pPr>
      <w:r>
        <w:rPr/>
        <w:t>8.1. Šis Priedas, kartu su Pagrindine sutartimi, Priedu Nr. 2 ir kitais svetainėje </w:t>
      </w:r>
      <w:hyperlink r:id="rId2" w:tgtFrame="_blank">
        <w:r>
          <w:rPr>
            <w:rStyle w:val="InternetLink"/>
            <w:b/>
            <w:bCs/>
          </w:rPr>
          <w:t>www.smartaccountai.lt</w:t>
        </w:r>
      </w:hyperlink>
      <w:r>
        <w:rPr/>
        <w:t> skelbiamais dokumentais, sudaro vientisą dokumentų rinkinį.</w:t>
      </w:r>
    </w:p>
    <w:p>
      <w:pPr>
        <w:pStyle w:val="Normal"/>
        <w:rPr/>
      </w:pPr>
      <w:r>
        <w:rPr/>
        <w:t>8.2. Klientas, prisijungęs prie savo paskyros Sistemoje ir atlikęs veiksmą </w:t>
      </w:r>
      <w:r>
        <w:rPr>
          <w:b/>
          <w:bCs/>
        </w:rPr>
        <w:t>„Patvirtinti visus dokumentus“</w:t>
      </w:r>
      <w:r>
        <w:rPr/>
        <w:t> (arba analogišką veiksmą), vienu metu patvirtina ir sutinka su visų šių dokumentų sąlygomis.</w:t>
      </w:r>
    </w:p>
    <w:p>
      <w:pPr>
        <w:pStyle w:val="Normal"/>
        <w:rPr/>
      </w:pPr>
      <w:r>
        <w:rPr/>
        <w:t>8.3. Kliento atliktas elektroninis patvirtinimo veiksmas prilygsta ranka rašytam parašui ir yra pakankamas įrodyti, kad Klientas susipažino su dokumentais bei sutinka su jų sąlygomis. Sistema užfiksuoja tikslią patvirtinimo datą, laiką ir Kliento IP adresą.</w:t>
      </w:r>
    </w:p>
    <w:p>
      <w:pPr>
        <w:pStyle w:val="Normal"/>
        <w:rPr/>
      </w:pPr>
      <w:r>
        <w:rPr>
          <w:b/>
          <w:bCs/>
        </w:rPr>
        <w:t>9. BAIGIAMOSIOS NUOSTATOS</w:t>
      </w:r>
    </w:p>
    <w:p>
      <w:pPr>
        <w:pStyle w:val="Normal"/>
        <w:rPr/>
      </w:pPr>
      <w:r>
        <w:rPr/>
        <w:t>9.1. Šis Priedas yra neatsiejama Pagrindinės Sutarties dalis. Visi nesutampantys terminai ir sąlygos aiškinami šio Priedo kontekste.</w:t>
      </w:r>
    </w:p>
    <w:p>
      <w:pPr>
        <w:pStyle w:val="Normal"/>
        <w:rPr/>
      </w:pPr>
      <w:r>
        <w:rPr/>
        <w:t>9.2. Jei kuris nors šio Priedo punktas yra ar tampa negaliojantis, tai neturi įtakos likusioms jo dalims.</w:t>
      </w:r>
    </w:p>
    <w:p>
      <w:pPr>
        <w:pStyle w:val="Normal"/>
        <w:rPr/>
      </w:pPr>
      <w:r>
        <w:rPr/>
        <w:t>9.3. Visi ginčai dėl šio Priedo taip pat sprendžiami pagal Pagrindinėje Sutartyje nustatytą tvarką.</w:t>
      </w:r>
    </w:p>
    <w:p>
      <w:pPr>
        <w:pStyle w:val="Normal"/>
        <w:rPr/>
      </w:pPr>
      <w:r>
        <w:rPr/>
        <w:t>9.4. Priedas sudarytas lietuvių kalba ir egzistuoja elektronine forma Sistemoje.</w:t>
      </w:r>
    </w:p>
    <w:p>
      <w:pPr>
        <w:pStyle w:val="Normal"/>
        <w:rPr/>
      </w:pPr>
      <w:r>
        <w:rPr/>
        <mc:AlternateContent>
          <mc:Choice Requires="wps">
            <w:drawing>
              <wp:inline distT="0" distB="0" distL="0" distR="0">
                <wp:extent cx="5943600" cy="9525"/>
                <wp:effectExtent l="0" t="0" r="0" b="0"/>
                <wp:docPr id="1" name=""/>
                <a:graphic xmlns:a="http://schemas.openxmlformats.org/drawingml/2006/main">
                  <a:graphicData uri="http://schemas.microsoft.com/office/word/2010/wordprocessingShape">
                    <wps:wsp>
                      <wps:cNvSpPr/>
                      <wps:nvSpPr>
                        <wps:cNvPr id="0" name=""/>
                        <wps:cNvSpPr/>
                      </wps:nvSpPr>
                      <wps:spPr>
                        <a:xfrm>
                          <a:off x="0" y="0"/>
                          <a:ext cx="5943600" cy="936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0.8pt;width:467.95pt;height:0.7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rPr>
          <w:b/>
          <w:b/>
          <w:bCs/>
        </w:rPr>
      </w:pPr>
      <w:r>
        <w:rPr>
          <w:b/>
          <w:bCs/>
        </w:rPr>
        <w:t>1 PRIEDAS (prie Priedo Nr. 3)</w:t>
      </w:r>
    </w:p>
    <w:p>
      <w:pPr>
        <w:pStyle w:val="Normal"/>
        <w:rPr/>
      </w:pPr>
      <w:r>
        <w:rPr>
          <w:b/>
          <w:bCs/>
        </w:rPr>
        <w:t>ASMENS DUOMENŲ, TVARKOMŲ TEIKIANT BUHALTERINES PASLAUGAS, KATEGORIJOS</w:t>
      </w:r>
    </w:p>
    <w:p>
      <w:pPr>
        <w:pStyle w:val="Normal"/>
        <w:numPr>
          <w:ilvl w:val="0"/>
          <w:numId w:val="8"/>
        </w:numPr>
        <w:rPr/>
      </w:pPr>
      <w:r>
        <w:rPr>
          <w:b/>
          <w:bCs/>
        </w:rPr>
        <w:t>Asmens tapatybės duomenys:</w:t>
      </w:r>
      <w:r>
        <w:rPr/>
        <w:t> Vardas, pavardė, asmens kodas, gimimo data. Tikslas: Kliento ir jo darbuotojų identifikavimas, teisinių prievolių vykdymas.</w:t>
      </w:r>
    </w:p>
    <w:p>
      <w:pPr>
        <w:pStyle w:val="Normal"/>
        <w:numPr>
          <w:ilvl w:val="0"/>
          <w:numId w:val="8"/>
        </w:numPr>
        <w:rPr/>
      </w:pPr>
      <w:r>
        <w:rPr>
          <w:b/>
          <w:bCs/>
          <w:lang w:val="pl-PL"/>
        </w:rPr>
        <w:t>Kontaktiniai duomenys:</w:t>
      </w:r>
      <w:r>
        <w:rPr>
          <w:lang w:val="pl-PL"/>
        </w:rPr>
        <w:t xml:space="preserve"> Adresas, telefono numeris, el. pašto adresas. </w:t>
      </w:r>
      <w:r>
        <w:rPr/>
        <w:t>Tikslas: Komunikacija, dokumentų siuntimas.</w:t>
      </w:r>
    </w:p>
    <w:p>
      <w:pPr>
        <w:pStyle w:val="Normal"/>
        <w:numPr>
          <w:ilvl w:val="0"/>
          <w:numId w:val="8"/>
        </w:numPr>
        <w:rPr/>
      </w:pPr>
      <w:r>
        <w:rPr>
          <w:b/>
          <w:bCs/>
        </w:rPr>
        <w:t>Finansiniai ir mokėjimo duomenys:</w:t>
      </w:r>
      <w:r>
        <w:rPr/>
        <w:t> Banko sąskaitos numeris, mokėjimo istorija, pajamų ir išlaidų dokumentai, sąskaitos faktūros. Tikslas: Atsiskaitymų vykdymas, apskaitos tvarkymas.</w:t>
      </w:r>
    </w:p>
    <w:p>
      <w:pPr>
        <w:pStyle w:val="Normal"/>
        <w:numPr>
          <w:ilvl w:val="0"/>
          <w:numId w:val="8"/>
        </w:numPr>
        <w:rPr/>
      </w:pPr>
      <w:r>
        <w:rPr>
          <w:b/>
          <w:bCs/>
        </w:rPr>
        <w:t>Darbo santykių duomenys:</w:t>
      </w:r>
      <w:r>
        <w:rPr/>
        <w:t> Darbo užmokestis, neapmokestinamasis dydis, atostogų informacija, nedarbingumo pažymėjimai. Tikslas: Darbo užmokesčio skaičiavimas, ataskaitų teikimas "Sodrai" ir VMI.</w:t>
      </w:r>
    </w:p>
    <w:p>
      <w:pPr>
        <w:pStyle w:val="Normal"/>
        <w:numPr>
          <w:ilvl w:val="0"/>
          <w:numId w:val="8"/>
        </w:numPr>
        <w:rPr/>
      </w:pPr>
      <w:r>
        <w:rPr>
          <w:b/>
          <w:bCs/>
        </w:rPr>
        <w:t>Mokestiniai duomenys:</w:t>
      </w:r>
      <w:r>
        <w:rPr/>
        <w:t> Pajamų deklaracijų duomenys, PVM ataskaitos, mokesčių permokos ar nepriemokos. Tikslas: Mokesčių deklaravimas, teisinių prievolių vykdymas.</w:t>
      </w:r>
    </w:p>
    <w:p>
      <w:pPr>
        <w:pStyle w:val="Normal"/>
        <w:numPr>
          <w:ilvl w:val="0"/>
          <w:numId w:val="8"/>
        </w:numPr>
        <w:rPr/>
      </w:pPr>
      <w:r>
        <w:rPr>
          <w:b/>
          <w:bCs/>
        </w:rPr>
        <w:t>Sutartiniai duomenys:</w:t>
      </w:r>
      <w:r>
        <w:rPr/>
        <w:t> Sudarytų sutarčių sąlygos, papildomi susitarimai. Tikslas: Sutartinių įsipareigojimų vykdymas.</w:t>
      </w:r>
    </w:p>
    <w:p>
      <w:pPr>
        <w:pStyle w:val="Normal"/>
        <w:numPr>
          <w:ilvl w:val="0"/>
          <w:numId w:val="8"/>
        </w:numPr>
        <w:rPr/>
      </w:pPr>
      <w:r>
        <w:rPr>
          <w:b/>
          <w:bCs/>
        </w:rPr>
        <w:t>Techniniai duomenys:</w:t>
      </w:r>
      <w:r>
        <w:rPr/>
        <w:t> IP adresas, prisijungimo prie sistemos laikas (jei Klientas naudojasi sistema). Tikslas: Sistemos veikimo užtikrinimas, saugumas.</w:t>
      </w:r>
    </w:p>
    <w:p>
      <w:pPr>
        <w:pStyle w:val="Normal"/>
        <w:rPr/>
      </w:pPr>
      <w:r>
        <w:rPr/>
        <mc:AlternateContent>
          <mc:Choice Requires="wps">
            <w:drawing>
              <wp:inline distT="0" distB="0" distL="0" distR="0">
                <wp:extent cx="5943600" cy="9525"/>
                <wp:effectExtent l="0" t="0" r="0" b="0"/>
                <wp:docPr id="2" name=""/>
                <a:graphic xmlns:a="http://schemas.openxmlformats.org/drawingml/2006/main">
                  <a:graphicData uri="http://schemas.microsoft.com/office/word/2010/wordprocessingShape">
                    <wps:wsp>
                      <wps:cNvSpPr/>
                      <wps:nvSpPr>
                        <wps:cNvPr id="1" name=""/>
                        <wps:cNvSpPr/>
                      </wps:nvSpPr>
                      <wps:spPr>
                        <a:xfrm>
                          <a:off x="0" y="0"/>
                          <a:ext cx="5943600" cy="936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0.8pt;width:467.95pt;height:0.7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rPr/>
      </w:pPr>
      <w:r>
        <w:rPr>
          <w:b/>
          <w:bCs/>
        </w:rPr>
        <w:t>Paslaugų teikėjas (DT):</w:t>
      </w:r>
    </w:p>
    <w:p>
      <w:pPr>
        <w:pStyle w:val="Normal"/>
        <w:rPr/>
      </w:pPr>
      <w:r>
        <w:rPr/>
        <w:t>MB "Tavo pelnas"</w:t>
        <w:br/>
        <w:t>Įmonės kodas: 307112834</w:t>
        <w:br/>
        <w:t>Adresas: Algirdo g. 9C, Maišiagala, LT-14242 Vilniaus r.</w:t>
      </w:r>
    </w:p>
    <w:p>
      <w:pPr>
        <w:pStyle w:val="Normal"/>
        <w:rPr>
          <w:lang w:val="pl-PL"/>
        </w:rPr>
      </w:pPr>
      <w:r>
        <w:rPr>
          <w:b/>
          <w:bCs/>
          <w:lang w:val="pl-PL"/>
        </w:rPr>
        <w:t>Patvirtinta elektroniniu būdu sistemoje </w:t>
      </w:r>
      <w:hyperlink r:id="rId3" w:tgtFrame="_blank">
        <w:r>
          <w:rPr>
            <w:rStyle w:val="InternetLink"/>
            <w:b/>
            <w:bCs/>
            <w:lang w:val="pl-PL"/>
          </w:rPr>
          <w:t>www.smartaccountai.lt</w:t>
        </w:r>
      </w:hyperlink>
    </w:p>
    <w:p>
      <w:pPr>
        <w:pStyle w:val="Normal"/>
        <w:rPr/>
      </w:pPr>
      <w:r>
        <w:rPr/>
        <mc:AlternateContent>
          <mc:Choice Requires="wps">
            <w:drawing>
              <wp:inline distT="0" distB="0" distL="0" distR="0">
                <wp:extent cx="5943600" cy="9525"/>
                <wp:effectExtent l="0" t="0" r="0" b="0"/>
                <wp:docPr id="3" name=""/>
                <a:graphic xmlns:a="http://schemas.openxmlformats.org/drawingml/2006/main">
                  <a:graphicData uri="http://schemas.microsoft.com/office/word/2010/wordprocessingShape">
                    <wps:wsp>
                      <wps:cNvSpPr/>
                      <wps:nvSpPr>
                        <wps:cNvPr id="2" name=""/>
                        <wps:cNvSpPr/>
                      </wps:nvSpPr>
                      <wps:spPr>
                        <a:xfrm>
                          <a:off x="0" y="0"/>
                          <a:ext cx="5943600" cy="936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0.8pt;width:467.95pt;height:0.7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rPr>
          <w:lang w:val="pl-PL"/>
        </w:rPr>
      </w:pPr>
      <w:r>
        <w:rPr>
          <w:b/>
          <w:bCs/>
          <w:lang w:val="pl-PL"/>
        </w:rPr>
        <w:t>Klientas (DV):</w:t>
      </w:r>
    </w:p>
    <w:p>
      <w:pPr>
        <w:pStyle w:val="Normal"/>
        <w:rPr>
          <w:lang w:val="pl-PL"/>
        </w:rPr>
      </w:pPr>
      <w:r>
        <w:rPr>
          <w:b/>
          <w:bCs/>
          <w:lang w:val="pl-PL"/>
        </w:rPr>
        <w:t>Patvirtinta elektroniniu būdu sistemoje </w:t>
      </w:r>
      <w:hyperlink r:id="rId4" w:tgtFrame="_blank">
        <w:r>
          <w:rPr>
            <w:rStyle w:val="InternetLink"/>
            <w:b/>
            <w:bCs/>
            <w:lang w:val="pl-PL"/>
          </w:rPr>
          <w:t>www.smartaccountai.lt</w:t>
        </w:r>
      </w:hyperlink>
    </w:p>
    <w:p>
      <w:pPr>
        <w:pStyle w:val="Normal"/>
        <w:rPr>
          <w:lang w:val="pl-PL"/>
        </w:rPr>
      </w:pPr>
      <w:r>
        <w:rPr>
          <w:lang w:val="pl-PL"/>
        </w:rPr>
        <w:t>Vardas, pavardė: (Kliento duomenys užfiksuoti sistemoje)</w:t>
        <w:br/>
        <w:t>Elektroninio patvirtinimo data: (Data ir laikas)</w:t>
        <w:br/>
        <w:t>Kliento IP adresas: (IP adresas)</w:t>
      </w:r>
    </w:p>
    <w:p>
      <w:pPr>
        <w:pStyle w:val="Normal"/>
        <w:spacing w:before="0" w:after="160"/>
        <w:rPr>
          <w:lang w:val="lt-LT"/>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ba"/>
    <w:family w:val="roman"/>
    <w:pitch w:val="variable"/>
  </w:font>
  <w:font w:name="Calibri">
    <w:charset w:val="ba"/>
    <w:family w:val="roman"/>
    <w:pitch w:val="variable"/>
  </w:font>
  <w:font w:name="Calibri Light">
    <w:charset w:val="ba"/>
    <w:family w:val="roman"/>
    <w:pitch w:val="variable"/>
  </w:font>
  <w:font w:name="Liberation Sans">
    <w:altName w:val="Arial"/>
    <w:charset w:val="ba"/>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160"/>
      <w:jc w:val="left"/>
    </w:pPr>
    <w:rPr>
      <w:rFonts w:ascii="Calibri" w:hAnsi="Calibri" w:eastAsia="Calibri"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6b6947"/>
    <w:pPr>
      <w:keepNext w:val="true"/>
      <w:keepLines/>
      <w:spacing w:before="360" w:after="80"/>
      <w:outlineLvl w:val="0"/>
    </w:pPr>
    <w:rPr>
      <w:rFonts w:ascii="Calibri Light" w:hAnsi="Calibri Light" w:eastAsia="" w:cs="" w:asciiTheme="majorHAnsi" w:cstheme="majorBidi" w:eastAsiaTheme="majorEastAsia" w:hAnsiTheme="majorHAnsi"/>
      <w:color w:val="2F5496" w:themeColor="accent1" w:themeShade="bf"/>
      <w:sz w:val="40"/>
      <w:szCs w:val="40"/>
    </w:rPr>
  </w:style>
  <w:style w:type="paragraph" w:styleId="Heading2">
    <w:name w:val="Heading 2"/>
    <w:basedOn w:val="Normal"/>
    <w:next w:val="Normal"/>
    <w:link w:val="Heading2Char"/>
    <w:uiPriority w:val="9"/>
    <w:semiHidden/>
    <w:unhideWhenUsed/>
    <w:qFormat/>
    <w:rsid w:val="006b6947"/>
    <w:pPr>
      <w:keepNext w:val="true"/>
      <w:keepLines/>
      <w:spacing w:before="160" w:after="80"/>
      <w:outlineLvl w:val="1"/>
    </w:pPr>
    <w:rPr>
      <w:rFonts w:ascii="Calibri Light" w:hAnsi="Calibri Light" w:eastAsia="" w:cs="" w:asciiTheme="majorHAnsi" w:cstheme="majorBidi" w:eastAsiaTheme="majorEastAsia" w:hAnsiTheme="majorHAnsi"/>
      <w:color w:val="2F5496" w:themeColor="accent1" w:themeShade="bf"/>
      <w:sz w:val="32"/>
      <w:szCs w:val="32"/>
    </w:rPr>
  </w:style>
  <w:style w:type="paragraph" w:styleId="Heading3">
    <w:name w:val="Heading 3"/>
    <w:basedOn w:val="Normal"/>
    <w:next w:val="Normal"/>
    <w:link w:val="Heading3Char"/>
    <w:uiPriority w:val="9"/>
    <w:semiHidden/>
    <w:unhideWhenUsed/>
    <w:qFormat/>
    <w:rsid w:val="006b6947"/>
    <w:pPr>
      <w:keepNext w:val="true"/>
      <w:keepLines/>
      <w:spacing w:before="160" w:after="80"/>
      <w:outlineLvl w:val="2"/>
    </w:pPr>
    <w:rPr>
      <w:rFonts w:eastAsia="" w:cs="" w:cstheme="majorBidi" w:eastAsiaTheme="majorEastAsia"/>
      <w:color w:val="2F5496" w:themeColor="accent1" w:themeShade="bf"/>
      <w:sz w:val="28"/>
      <w:szCs w:val="28"/>
    </w:rPr>
  </w:style>
  <w:style w:type="paragraph" w:styleId="Heading4">
    <w:name w:val="Heading 4"/>
    <w:basedOn w:val="Normal"/>
    <w:next w:val="Normal"/>
    <w:link w:val="Heading4Char"/>
    <w:uiPriority w:val="9"/>
    <w:semiHidden/>
    <w:unhideWhenUsed/>
    <w:qFormat/>
    <w:rsid w:val="006b6947"/>
    <w:pPr>
      <w:keepNext w:val="true"/>
      <w:keepLines/>
      <w:spacing w:before="80" w:after="40"/>
      <w:outlineLvl w:val="3"/>
    </w:pPr>
    <w:rPr>
      <w:rFonts w:eastAsia="" w:cs="" w:cstheme="majorBidi" w:eastAsiaTheme="majorEastAsia"/>
      <w:i/>
      <w:iCs/>
      <w:color w:val="2F5496" w:themeColor="accent1" w:themeShade="bf"/>
    </w:rPr>
  </w:style>
  <w:style w:type="paragraph" w:styleId="Heading5">
    <w:name w:val="Heading 5"/>
    <w:basedOn w:val="Normal"/>
    <w:next w:val="Normal"/>
    <w:link w:val="Heading5Char"/>
    <w:uiPriority w:val="9"/>
    <w:semiHidden/>
    <w:unhideWhenUsed/>
    <w:qFormat/>
    <w:rsid w:val="006b6947"/>
    <w:pPr>
      <w:keepNext w:val="true"/>
      <w:keepLines/>
      <w:spacing w:before="80" w:after="40"/>
      <w:outlineLvl w:val="4"/>
    </w:pPr>
    <w:rPr>
      <w:rFonts w:eastAsia="" w:cs="" w:cstheme="majorBidi" w:eastAsiaTheme="majorEastAsia"/>
      <w:color w:val="2F5496" w:themeColor="accent1" w:themeShade="bf"/>
    </w:rPr>
  </w:style>
  <w:style w:type="paragraph" w:styleId="Heading6">
    <w:name w:val="Heading 6"/>
    <w:basedOn w:val="Normal"/>
    <w:next w:val="Normal"/>
    <w:link w:val="Heading6Char"/>
    <w:uiPriority w:val="9"/>
    <w:semiHidden/>
    <w:unhideWhenUsed/>
    <w:qFormat/>
    <w:rsid w:val="006b6947"/>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6b6947"/>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6b6947"/>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6b6947"/>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unhideWhenUsed/>
    <w:qFormat/>
    <w:rPr/>
  </w:style>
  <w:style w:type="character" w:styleId="Heading1Char" w:customStyle="1">
    <w:name w:val="Heading 1 Char"/>
    <w:basedOn w:val="DefaultParagraphFont"/>
    <w:link w:val="Heading1"/>
    <w:uiPriority w:val="9"/>
    <w:qFormat/>
    <w:rsid w:val="006b6947"/>
    <w:rPr>
      <w:rFonts w:ascii="Calibri Light" w:hAnsi="Calibri Light" w:eastAsia="" w:cs="" w:asciiTheme="majorHAnsi" w:cstheme="majorBidi" w:eastAsiaTheme="majorEastAsia" w:hAnsiTheme="majorHAnsi"/>
      <w:color w:val="2F5496" w:themeColor="accent1" w:themeShade="bf"/>
      <w:sz w:val="40"/>
      <w:szCs w:val="40"/>
    </w:rPr>
  </w:style>
  <w:style w:type="character" w:styleId="Heading2Char" w:customStyle="1">
    <w:name w:val="Heading 2 Char"/>
    <w:basedOn w:val="DefaultParagraphFont"/>
    <w:link w:val="Heading2"/>
    <w:uiPriority w:val="9"/>
    <w:semiHidden/>
    <w:qFormat/>
    <w:rsid w:val="006b6947"/>
    <w:rPr>
      <w:rFonts w:ascii="Calibri Light" w:hAnsi="Calibri Light" w:eastAsia="" w:cs="" w:asciiTheme="majorHAnsi" w:cstheme="majorBidi" w:eastAsiaTheme="majorEastAsia" w:hAnsiTheme="majorHAnsi"/>
      <w:color w:val="2F5496" w:themeColor="accent1" w:themeShade="bf"/>
      <w:sz w:val="32"/>
      <w:szCs w:val="32"/>
    </w:rPr>
  </w:style>
  <w:style w:type="character" w:styleId="Heading3Char" w:customStyle="1">
    <w:name w:val="Heading 3 Char"/>
    <w:basedOn w:val="DefaultParagraphFont"/>
    <w:link w:val="Heading3"/>
    <w:uiPriority w:val="9"/>
    <w:semiHidden/>
    <w:qFormat/>
    <w:rsid w:val="006b6947"/>
    <w:rPr>
      <w:rFonts w:eastAsia="" w:cs="" w:cstheme="majorBidi" w:eastAsiaTheme="majorEastAsia"/>
      <w:color w:val="2F5496" w:themeColor="accent1" w:themeShade="bf"/>
      <w:sz w:val="28"/>
      <w:szCs w:val="28"/>
    </w:rPr>
  </w:style>
  <w:style w:type="character" w:styleId="Heading4Char" w:customStyle="1">
    <w:name w:val="Heading 4 Char"/>
    <w:basedOn w:val="DefaultParagraphFont"/>
    <w:link w:val="Heading4"/>
    <w:uiPriority w:val="9"/>
    <w:semiHidden/>
    <w:qFormat/>
    <w:rsid w:val="006b6947"/>
    <w:rPr>
      <w:rFonts w:eastAsia="" w:cs="" w:cstheme="majorBidi" w:eastAsiaTheme="majorEastAsia"/>
      <w:i/>
      <w:iCs/>
      <w:color w:val="2F5496" w:themeColor="accent1" w:themeShade="bf"/>
    </w:rPr>
  </w:style>
  <w:style w:type="character" w:styleId="Heading5Char" w:customStyle="1">
    <w:name w:val="Heading 5 Char"/>
    <w:basedOn w:val="DefaultParagraphFont"/>
    <w:link w:val="Heading5"/>
    <w:uiPriority w:val="9"/>
    <w:semiHidden/>
    <w:qFormat/>
    <w:rsid w:val="006b6947"/>
    <w:rPr>
      <w:rFonts w:eastAsia="" w:cs="" w:cstheme="majorBidi" w:eastAsiaTheme="majorEastAsia"/>
      <w:color w:val="2F5496" w:themeColor="accent1" w:themeShade="bf"/>
    </w:rPr>
  </w:style>
  <w:style w:type="character" w:styleId="Heading6Char" w:customStyle="1">
    <w:name w:val="Heading 6 Char"/>
    <w:basedOn w:val="DefaultParagraphFont"/>
    <w:link w:val="Heading6"/>
    <w:uiPriority w:val="9"/>
    <w:semiHidden/>
    <w:qFormat/>
    <w:rsid w:val="006b6947"/>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6b6947"/>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6b6947"/>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6b6947"/>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6b6947"/>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6b6947"/>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6b6947"/>
    <w:rPr>
      <w:i/>
      <w:iCs/>
      <w:color w:val="404040" w:themeColor="text1" w:themeTint="bf"/>
    </w:rPr>
  </w:style>
  <w:style w:type="character" w:styleId="IntenseEmphasis">
    <w:name w:val="Intense Emphasis"/>
    <w:basedOn w:val="DefaultParagraphFont"/>
    <w:uiPriority w:val="21"/>
    <w:qFormat/>
    <w:rsid w:val="006b6947"/>
    <w:rPr>
      <w:i/>
      <w:iCs/>
      <w:color w:val="2F5496" w:themeColor="accent1" w:themeShade="bf"/>
    </w:rPr>
  </w:style>
  <w:style w:type="character" w:styleId="IntenseQuoteChar" w:customStyle="1">
    <w:name w:val="Intense Quote Char"/>
    <w:basedOn w:val="DefaultParagraphFont"/>
    <w:link w:val="IntenseQuote"/>
    <w:uiPriority w:val="30"/>
    <w:qFormat/>
    <w:rsid w:val="006b6947"/>
    <w:rPr>
      <w:i/>
      <w:iCs/>
      <w:color w:val="2F5496" w:themeColor="accent1" w:themeShade="bf"/>
    </w:rPr>
  </w:style>
  <w:style w:type="character" w:styleId="IntenseReference">
    <w:name w:val="Intense Reference"/>
    <w:basedOn w:val="DefaultParagraphFont"/>
    <w:uiPriority w:val="32"/>
    <w:qFormat/>
    <w:rsid w:val="006b6947"/>
    <w:rPr>
      <w:b/>
      <w:bCs/>
      <w:smallCaps/>
      <w:color w:val="2F5496" w:themeColor="accent1" w:themeShade="bf"/>
      <w:spacing w:val="5"/>
    </w:rPr>
  </w:style>
  <w:style w:type="character" w:styleId="InternetLink">
    <w:name w:val="Hyperlink"/>
    <w:basedOn w:val="DefaultParagraphFont"/>
    <w:uiPriority w:val="99"/>
    <w:unhideWhenUsed/>
    <w:rsid w:val="006b6947"/>
    <w:rPr>
      <w:color w:val="0563C1" w:themeColor="hyperlink"/>
      <w:u w:val="single"/>
    </w:rPr>
  </w:style>
  <w:style w:type="character" w:styleId="UnresolvedMention">
    <w:name w:val="Unresolved Mention"/>
    <w:basedOn w:val="DefaultParagraphFont"/>
    <w:uiPriority w:val="99"/>
    <w:semiHidden/>
    <w:unhideWhenUsed/>
    <w:qFormat/>
    <w:rsid w:val="006b6947"/>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Title">
    <w:name w:val="Title"/>
    <w:basedOn w:val="Normal"/>
    <w:next w:val="Normal"/>
    <w:link w:val="TitleChar"/>
    <w:uiPriority w:val="10"/>
    <w:qFormat/>
    <w:rsid w:val="006b6947"/>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6b6947"/>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6b6947"/>
    <w:pPr>
      <w:spacing w:before="160" w:after="160"/>
      <w:jc w:val="center"/>
    </w:pPr>
    <w:rPr>
      <w:i/>
      <w:iCs/>
      <w:color w:val="404040" w:themeColor="text1" w:themeTint="bf"/>
    </w:rPr>
  </w:style>
  <w:style w:type="paragraph" w:styleId="ListParagraph">
    <w:name w:val="List Paragraph"/>
    <w:basedOn w:val="Normal"/>
    <w:uiPriority w:val="34"/>
    <w:qFormat/>
    <w:rsid w:val="006b6947"/>
    <w:pPr>
      <w:spacing w:before="0" w:after="160"/>
      <w:ind w:left="720" w:hanging="0"/>
      <w:contextualSpacing/>
    </w:pPr>
    <w:rPr/>
  </w:style>
  <w:style w:type="paragraph" w:styleId="IntenseQuote">
    <w:name w:val="Intense Quote"/>
    <w:basedOn w:val="Normal"/>
    <w:next w:val="Normal"/>
    <w:link w:val="IntenseQuoteChar"/>
    <w:uiPriority w:val="30"/>
    <w:qFormat/>
    <w:rsid w:val="006b6947"/>
    <w:pPr>
      <w:pBdr>
        <w:top w:val="single" w:sz="4" w:space="10" w:color="2F5496"/>
        <w:bottom w:val="single" w:sz="4" w:space="10" w:color="2F5496"/>
      </w:pBdr>
      <w:spacing w:before="360" w:after="360"/>
      <w:ind w:left="864" w:right="864" w:hanging="0"/>
      <w:jc w:val="center"/>
    </w:pPr>
    <w:rPr>
      <w:i/>
      <w:iCs/>
      <w:color w:val="2F5496"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martaccountai.lt/" TargetMode="External"/><Relationship Id="rId3" Type="http://schemas.openxmlformats.org/officeDocument/2006/relationships/hyperlink" Target="https://www.smartaccountai.lt/" TargetMode="External"/><Relationship Id="rId4" Type="http://schemas.openxmlformats.org/officeDocument/2006/relationships/hyperlink" Target="https://www.smartaccountai.lt/"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LibreOffice/7.3.4.2$Windows_X86_64 LibreOffice_project/728fec16bd5f605073805c3c9e7c4212a0120dc5</Application>
  <AppVersion>15.0000</AppVersion>
  <Pages>4</Pages>
  <Words>1091</Words>
  <Characters>7242</Characters>
  <CharactersWithSpaces>8238</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2026-03-19T10:57:00Z</dcterms:created>
  <dc:creator>Daniel Waitkunas</dc:creator>
  <dc:description/>
  <dc:language>en-US</dc:language>
  <cp:lastModifiedBy>Daniel Waitkunas</cp:lastModifiedBy>
  <dcterms:modified xsi:type="dcterms:W3CDTF">2026-03-19T11:02:00Z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