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b/>
          <w:b/>
          <w:bCs/>
        </w:rPr>
      </w:pPr>
      <w:r>
        <w:rPr>
          <w:b/>
          <w:bCs/>
        </w:rPr>
        <w:t>BUHALTERINĖS APSKAITOS PASLAUGŲ TEIKIMO SUTARTIS</w:t>
      </w:r>
    </w:p>
    <w:p>
      <w:pPr>
        <w:pStyle w:val="Normal"/>
        <w:rPr/>
      </w:pPr>
      <w:r>
        <w:rPr>
          <w:b/>
          <w:bCs/>
        </w:rPr>
        <w:t xml:space="preserve">Vilnius, 2026 m. </w:t>
      </w:r>
    </w:p>
    <w:p>
      <w:pPr>
        <w:pStyle w:val="Normal"/>
        <w:rPr/>
      </w:pPr>
      <w:r>
        <w:rPr>
          <w:b/>
          <w:bCs/>
        </w:rPr>
        <w:t xml:space="preserve">UŽSAKOVAS: </w:t>
      </w:r>
      <w:r>
        <w:rPr/>
        <w:t>Juridinis arba fizinis amuo registruotas Lietuuvos Respublikoje.</w:t>
        <w:br/>
      </w:r>
    </w:p>
    <w:p>
      <w:pPr>
        <w:pStyle w:val="Normal"/>
        <w:rPr/>
      </w:pPr>
      <w:r>
        <w:rPr>
          <w:b/>
          <w:bCs/>
        </w:rPr>
        <w:t>VYKDYTOJAS:</w:t>
      </w:r>
      <w:r>
        <w:rPr/>
        <w:br/>
        <w:t>MB "Tavo pelnas"</w:t>
        <w:br/>
        <w:t>Įmonės kodas: 307112834</w:t>
        <w:br/>
        <w:t>Adresas: Algirdo g. 9C, Maišiagala, LT-14242 Vilniaus r.</w:t>
        <w:br/>
        <w:t>Atstovauja: Miroslava Vaitkūnienė</w:t>
        <w:br/>
        <w:t>(toliau – </w:t>
      </w:r>
      <w:r>
        <w:rPr>
          <w:b/>
          <w:bCs/>
        </w:rPr>
        <w:t>„Vykdytojas“</w:t>
      </w:r>
      <w:r>
        <w:rPr/>
        <w:t>)</w:t>
      </w:r>
    </w:p>
    <w:p>
      <w:pPr>
        <w:pStyle w:val="Normal"/>
        <w:rPr/>
      </w:pPr>
      <w:r>
        <w:rPr/>
        <w:t>(Užsakovas ir Vykdytojas kartu vadinami </w:t>
      </w:r>
      <w:r>
        <w:rPr>
          <w:b/>
          <w:bCs/>
        </w:rPr>
        <w:t>„Šalimis“</w:t>
      </w:r>
      <w:r>
        <w:rPr/>
        <w:t>, o kiekvienas atskirai – </w:t>
      </w:r>
      <w:r>
        <w:rPr>
          <w:b/>
          <w:bCs/>
        </w:rPr>
        <w:t>„Šalimi“</w:t>
      </w:r>
      <w:r>
        <w:rPr/>
        <w:t>)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943600" cy="9525"/>
                <wp:effectExtent l="0" t="0" r="0" b="0"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0" name=""/>
                        <wps:cNvSpPr/>
                      </wps:nvSpPr>
                      <wps:spPr>
                        <a:xfrm>
                          <a:off x="0" y="0"/>
                          <a:ext cx="5943600" cy="936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0.8pt;width:467.95pt;height:0.7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1. SUTARTIES OBJEKTAS IR PASLAUGOS</w:t>
      </w:r>
    </w:p>
    <w:p>
      <w:pPr>
        <w:pStyle w:val="Normal"/>
        <w:rPr/>
      </w:pPr>
      <w:r>
        <w:rPr/>
        <w:t>1.1. Vykdytojas įsipareigoja teikti Užsakovui buhalterinės apskaitos paslaugas (toliau – </w:t>
      </w:r>
      <w:r>
        <w:rPr>
          <w:b/>
          <w:bCs/>
        </w:rPr>
        <w:t>„Paslaugos“</w:t>
      </w:r>
      <w:r>
        <w:rPr/>
        <w:t>), o Užsakovas įsipareigoja už jas mokėti ir sudaryti sąlygas joms teikti.</w:t>
      </w:r>
    </w:p>
    <w:p>
      <w:pPr>
        <w:pStyle w:val="Normal"/>
        <w:rPr/>
      </w:pPr>
      <w:r>
        <w:rPr/>
        <w:t>1.2. Paslaugos apima:</w:t>
      </w:r>
    </w:p>
    <w:p>
      <w:pPr>
        <w:pStyle w:val="Normal"/>
        <w:numPr>
          <w:ilvl w:val="0"/>
          <w:numId w:val="1"/>
        </w:numPr>
        <w:rPr/>
      </w:pPr>
      <w:r>
        <w:rPr/>
        <w:t>buhalterinės apskaitos vedimą;</w:t>
      </w:r>
    </w:p>
    <w:p>
      <w:pPr>
        <w:pStyle w:val="Normal"/>
        <w:numPr>
          <w:ilvl w:val="0"/>
          <w:numId w:val="1"/>
        </w:numPr>
        <w:rPr/>
      </w:pPr>
      <w:r>
        <w:rPr/>
        <w:t>mokesčių apskaitą ir deklaracijų rengimą;</w:t>
      </w:r>
    </w:p>
    <w:p>
      <w:pPr>
        <w:pStyle w:val="Normal"/>
        <w:numPr>
          <w:ilvl w:val="0"/>
          <w:numId w:val="1"/>
        </w:numPr>
        <w:rPr/>
      </w:pPr>
      <w:r>
        <w:rPr/>
        <w:t>finansinių ataskaitų rengimą;</w:t>
      </w:r>
    </w:p>
    <w:p>
      <w:pPr>
        <w:pStyle w:val="Normal"/>
        <w:numPr>
          <w:ilvl w:val="0"/>
          <w:numId w:val="1"/>
        </w:numPr>
        <w:rPr/>
      </w:pPr>
      <w:r>
        <w:rPr/>
        <w:t>kitas susijusias paslaugas, nurodytas </w:t>
      </w:r>
      <w:r>
        <w:rPr>
          <w:b/>
          <w:bCs/>
        </w:rPr>
        <w:t>Priede Nr. 1 (Paslaugų kainoraštis)</w:t>
      </w:r>
      <w:r>
        <w:rPr/>
        <w:t>.</w:t>
      </w:r>
    </w:p>
    <w:p>
      <w:pPr>
        <w:pStyle w:val="Normal"/>
        <w:rPr/>
      </w:pPr>
      <w:r>
        <w:rPr/>
        <w:t>1.3. Paslaugos teikiamos vadovaujantis:</w:t>
      </w:r>
    </w:p>
    <w:p>
      <w:pPr>
        <w:pStyle w:val="Normal"/>
        <w:numPr>
          <w:ilvl w:val="0"/>
          <w:numId w:val="2"/>
        </w:numPr>
        <w:rPr/>
      </w:pPr>
      <w:r>
        <w:rPr/>
        <w:t>Užsakovo pateiktais pirminiais apskaitos dokumentais;</w:t>
      </w:r>
    </w:p>
    <w:p>
      <w:pPr>
        <w:pStyle w:val="Normal"/>
        <w:numPr>
          <w:ilvl w:val="0"/>
          <w:numId w:val="2"/>
        </w:numPr>
        <w:rPr/>
      </w:pPr>
      <w:r>
        <w:rPr/>
        <w:t>Lietuvos Respublikos buhalterinės apskaitos, mokesčių ir kitais taikytinais teisės aktais;</w:t>
      </w:r>
    </w:p>
    <w:p>
      <w:pPr>
        <w:pStyle w:val="Normal"/>
        <w:numPr>
          <w:ilvl w:val="0"/>
          <w:numId w:val="2"/>
        </w:numPr>
        <w:rPr/>
      </w:pPr>
      <w:r>
        <w:rPr/>
        <w:t>Bendruoju duomenų apsaugos reglamentu (BDAR).</w:t>
      </w:r>
    </w:p>
    <w:p>
      <w:pPr>
        <w:pStyle w:val="Normal"/>
        <w:rPr/>
      </w:pPr>
      <w:r>
        <w:rPr/>
        <w:t>1.4. Paslaugų kainoraštis (Priedas Nr. 1) yra individualus ir gali skirtis nuo Vykdytojo svetainėje </w:t>
      </w:r>
      <w:hyperlink r:id="rId2" w:tgtFrame="_blank">
        <w:r>
          <w:rPr>
            <w:rStyle w:val="InternetLink"/>
            <w:b/>
            <w:bCs/>
          </w:rPr>
          <w:t>www.smartaccountai.lt</w:t>
        </w:r>
      </w:hyperlink>
      <w:r>
        <w:rPr/>
        <w:t> skelbiamų kainų. Kainoraštis patvirtinamas elektroniniu būdu kartu su šia Sutartimi.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943600" cy="9525"/>
                <wp:effectExtent l="0" t="0" r="0" b="0"/>
                <wp:docPr id="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" name=""/>
                        <wps:cNvSpPr/>
                      </wps:nvSpPr>
                      <wps:spPr>
                        <a:xfrm>
                          <a:off x="0" y="0"/>
                          <a:ext cx="5943600" cy="936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0.8pt;width:467.95pt;height:0.7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2. KAINOS IR ATSISKAITYMO TVARKA</w:t>
      </w:r>
    </w:p>
    <w:p>
      <w:pPr>
        <w:pStyle w:val="Normal"/>
        <w:rPr/>
      </w:pPr>
      <w:r>
        <w:rPr/>
        <w:t>2.1. </w:t>
      </w:r>
      <w:r>
        <w:rPr>
          <w:b/>
          <w:bCs/>
        </w:rPr>
        <w:t>Mokestis už Paslaugas:</w:t>
      </w:r>
    </w:p>
    <w:p>
      <w:pPr>
        <w:pStyle w:val="Normal"/>
        <w:numPr>
          <w:ilvl w:val="0"/>
          <w:numId w:val="3"/>
        </w:numPr>
        <w:rPr/>
      </w:pPr>
      <w:r>
        <w:rPr/>
        <w:t>Mėnesinis paslaugų mokestis nustatomas pagal Priede Nr. 1 nurodytus įkainius arba individualiai sutartą fiksuotą mėnesinį mokestį.</w:t>
      </w:r>
    </w:p>
    <w:p>
      <w:pPr>
        <w:pStyle w:val="Normal"/>
        <w:numPr>
          <w:ilvl w:val="0"/>
          <w:numId w:val="3"/>
        </w:numPr>
        <w:rPr/>
      </w:pPr>
      <w:r>
        <w:rPr/>
        <w:t>Visos kainos nurodytos </w:t>
      </w:r>
      <w:r>
        <w:rPr>
          <w:b/>
          <w:bCs/>
        </w:rPr>
        <w:t>be PVM</w:t>
      </w:r>
      <w:r>
        <w:rPr/>
        <w:t>. PVM pridedamas pagal galiojančius teisės aktus.</w:t>
      </w:r>
    </w:p>
    <w:p>
      <w:pPr>
        <w:pStyle w:val="Normal"/>
        <w:rPr/>
      </w:pPr>
      <w:r>
        <w:rPr/>
        <w:t>2.2. </w:t>
      </w:r>
      <w:r>
        <w:rPr>
          <w:b/>
          <w:bCs/>
        </w:rPr>
        <w:t>Apmokėjimo tvarka:</w:t>
      </w:r>
    </w:p>
    <w:p>
      <w:pPr>
        <w:pStyle w:val="Normal"/>
        <w:numPr>
          <w:ilvl w:val="0"/>
          <w:numId w:val="4"/>
        </w:numPr>
        <w:rPr/>
      </w:pPr>
      <w:r>
        <w:rPr/>
        <w:t>Vykdytojas išrašo išankstinę PVM sąskaitą faktūrą (už būsimą mėnesį) iki kiekvieno mėnesio 5 dienos.</w:t>
      </w:r>
    </w:p>
    <w:p>
      <w:pPr>
        <w:pStyle w:val="Normal"/>
        <w:numPr>
          <w:ilvl w:val="0"/>
          <w:numId w:val="4"/>
        </w:numPr>
        <w:rPr/>
      </w:pPr>
      <w:r>
        <w:rPr/>
        <w:t>Užsakovas apmoka sąskaitą per </w:t>
      </w:r>
      <w:r>
        <w:rPr>
          <w:b/>
          <w:bCs/>
        </w:rPr>
        <w:t>3 (tris) darbo dienas</w:t>
      </w:r>
      <w:r>
        <w:rPr/>
        <w:t> nuo sąskaitos išrašymo dienos.</w:t>
      </w:r>
    </w:p>
    <w:p>
      <w:pPr>
        <w:pStyle w:val="Normal"/>
        <w:rPr/>
      </w:pPr>
      <w:r>
        <w:rPr/>
        <w:t>2.3. </w:t>
      </w:r>
      <w:r>
        <w:rPr>
          <w:b/>
          <w:bCs/>
        </w:rPr>
        <w:t>Vėlavimo pasekmės:</w:t>
      </w:r>
    </w:p>
    <w:p>
      <w:pPr>
        <w:pStyle w:val="Normal"/>
        <w:numPr>
          <w:ilvl w:val="0"/>
          <w:numId w:val="5"/>
        </w:numPr>
        <w:rPr/>
      </w:pPr>
      <w:r>
        <w:rPr/>
        <w:t>Užsakovui vėluojant apmokėti sąskaitą daugiau kaip </w:t>
      </w:r>
      <w:r>
        <w:rPr>
          <w:b/>
          <w:bCs/>
        </w:rPr>
        <w:t>30 (trisdešimt) kalendorinių dienų</w:t>
      </w:r>
      <w:r>
        <w:rPr/>
        <w:t>, Vykdytojas turi teisę </w:t>
      </w:r>
      <w:r>
        <w:rPr>
          <w:b/>
          <w:bCs/>
        </w:rPr>
        <w:t>sustabdyti Paslaugų teikimą</w:t>
      </w:r>
      <w:r>
        <w:rPr/>
        <w:t> ir neteikti ataskaitų valstybės institucijoms iki visiško skolos padengimo.</w:t>
      </w:r>
    </w:p>
    <w:p>
      <w:pPr>
        <w:pStyle w:val="Normal"/>
        <w:numPr>
          <w:ilvl w:val="0"/>
          <w:numId w:val="5"/>
        </w:numPr>
        <w:rPr/>
      </w:pPr>
      <w:r>
        <w:rPr/>
        <w:t>Visas atsakomybes (baudas, delspinigius), susijusias su ataskaitų pateikimo terminais dėl Vykdytojo sustabdytų Paslaugų, prisiima Užsakovas.</w:t>
      </w:r>
    </w:p>
    <w:p>
      <w:pPr>
        <w:pStyle w:val="Normal"/>
        <w:numPr>
          <w:ilvl w:val="0"/>
          <w:numId w:val="5"/>
        </w:numPr>
        <w:rPr/>
      </w:pPr>
      <w:r>
        <w:rPr/>
        <w:t>Už kiekvieną uždelstą kalendorinę dieną skaičiuojami </w:t>
      </w:r>
      <w:r>
        <w:rPr>
          <w:b/>
          <w:bCs/>
        </w:rPr>
        <w:t>0,2 % dydžio delspinigiai</w:t>
      </w:r>
      <w:r>
        <w:rPr/>
        <w:t> nuo neapmokėtos sumos.</w:t>
      </w:r>
    </w:p>
    <w:p>
      <w:pPr>
        <w:pStyle w:val="Normal"/>
        <w:rPr/>
      </w:pPr>
      <w:r>
        <w:rPr/>
        <w:t>2.4. </w:t>
      </w:r>
      <w:r>
        <w:rPr>
          <w:b/>
          <w:bCs/>
        </w:rPr>
        <w:t>Skolų perdavimas:</w:t>
      </w:r>
    </w:p>
    <w:p>
      <w:pPr>
        <w:pStyle w:val="Normal"/>
        <w:numPr>
          <w:ilvl w:val="0"/>
          <w:numId w:val="6"/>
        </w:numPr>
        <w:rPr/>
      </w:pPr>
      <w:r>
        <w:rPr/>
        <w:t>Užsakovas sutinka, kad, pažeidus mokėjimo sąlygas ir susidarius neapmokėtai skolai, Vykdytojas turi teisę perduoti Užsakovo duomenis, susijusius su skolos išieškojimu, tretiesiems asmenims (skolų išieškojimo įmonėms) ir kreditingumą vertinančioms įstaigoms.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943600" cy="9525"/>
                <wp:effectExtent l="0" t="0" r="0" b="0"/>
                <wp:docPr id="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" name=""/>
                        <wps:cNvSpPr/>
                      </wps:nvSpPr>
                      <wps:spPr>
                        <a:xfrm>
                          <a:off x="0" y="0"/>
                          <a:ext cx="5943600" cy="936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0.8pt;width:467.95pt;height:0.7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3. DOKUMENTŲ IR INFORMACIJOS TEIKIMAS</w:t>
      </w:r>
    </w:p>
    <w:p>
      <w:pPr>
        <w:pStyle w:val="Normal"/>
        <w:rPr/>
      </w:pPr>
      <w:r>
        <w:rPr/>
        <w:t>3.1. Užsakovas perduoda Vykdytojui pirminius apskaitos dokumentus </w:t>
      </w:r>
      <w:r>
        <w:rPr>
          <w:b/>
          <w:bCs/>
        </w:rPr>
        <w:t>iki kiekvieno mėnesio 10 dienos</w:t>
      </w:r>
      <w:r>
        <w:rPr/>
        <w:t>.</w:t>
      </w:r>
    </w:p>
    <w:p>
      <w:pPr>
        <w:pStyle w:val="Normal"/>
        <w:rPr/>
      </w:pPr>
      <w:r>
        <w:rPr/>
        <w:t>3.2. Dokumentai turi būti:</w:t>
      </w:r>
    </w:p>
    <w:p>
      <w:pPr>
        <w:pStyle w:val="Normal"/>
        <w:numPr>
          <w:ilvl w:val="0"/>
          <w:numId w:val="7"/>
        </w:numPr>
        <w:rPr/>
      </w:pPr>
      <w:r>
        <w:rPr/>
        <w:t>surūšiuoti pagal pobūdį (pirkimai, pardavimai, banko išrašai, kasos dokumentai);</w:t>
      </w:r>
    </w:p>
    <w:p>
      <w:pPr>
        <w:pStyle w:val="Normal"/>
        <w:numPr>
          <w:ilvl w:val="0"/>
          <w:numId w:val="7"/>
        </w:numPr>
        <w:rPr/>
      </w:pPr>
      <w:r>
        <w:rPr/>
        <w:t>susisteminti pagal datas.</w:t>
      </w:r>
    </w:p>
    <w:p>
      <w:pPr>
        <w:pStyle w:val="Normal"/>
        <w:rPr/>
      </w:pPr>
      <w:r>
        <w:rPr/>
        <w:t>3.3. Banko išrašai teikiami </w:t>
      </w:r>
      <w:r>
        <w:rPr>
          <w:b/>
          <w:bCs/>
        </w:rPr>
        <w:t>PDF ir XML</w:t>
      </w:r>
      <w:r>
        <w:rPr/>
        <w:t> formatais.</w:t>
      </w:r>
    </w:p>
    <w:p>
      <w:pPr>
        <w:pStyle w:val="Normal"/>
        <w:rPr/>
      </w:pPr>
      <w:r>
        <w:rPr/>
        <w:t>3.4. Dokumentai teikiami </w:t>
      </w:r>
      <w:r>
        <w:rPr>
          <w:b/>
          <w:bCs/>
        </w:rPr>
        <w:t>elektroniniu būdu</w:t>
      </w:r>
      <w:r>
        <w:rPr/>
        <w:t>:</w:t>
      </w:r>
    </w:p>
    <w:p>
      <w:pPr>
        <w:pStyle w:val="Normal"/>
        <w:numPr>
          <w:ilvl w:val="0"/>
          <w:numId w:val="8"/>
        </w:numPr>
        <w:rPr/>
      </w:pPr>
      <w:r>
        <w:rPr/>
        <w:t>el. paštu: </w:t>
      </w:r>
      <w:r>
        <w:rPr>
          <w:b/>
          <w:bCs/>
        </w:rPr>
        <w:t>info@smartaccountai.lt</w:t>
      </w:r>
      <w:r>
        <w:rPr/>
        <w:t>;</w:t>
      </w:r>
    </w:p>
    <w:p>
      <w:pPr>
        <w:pStyle w:val="Normal"/>
        <w:numPr>
          <w:ilvl w:val="0"/>
          <w:numId w:val="8"/>
        </w:numPr>
        <w:rPr/>
      </w:pPr>
      <w:r>
        <w:rPr/>
        <w:t>per „Google Docs“;</w:t>
      </w:r>
    </w:p>
    <w:p>
      <w:pPr>
        <w:pStyle w:val="Normal"/>
        <w:numPr>
          <w:ilvl w:val="0"/>
          <w:numId w:val="8"/>
        </w:numPr>
        <w:rPr/>
      </w:pPr>
      <w:r>
        <w:rPr/>
        <w:t>arba per </w:t>
      </w:r>
      <w:r>
        <w:rPr>
          <w:b/>
          <w:bCs/>
        </w:rPr>
        <w:t>Kliento sistemą</w:t>
      </w:r>
      <w:r>
        <w:rPr/>
        <w:t> (</w:t>
      </w:r>
      <w:hyperlink r:id="rId3" w:tgtFrame="_blank">
        <w:r>
          <w:rPr>
            <w:rStyle w:val="InternetLink"/>
          </w:rPr>
          <w:t>www.smartaccountai.lt</w:t>
        </w:r>
      </w:hyperlink>
      <w:r>
        <w:rPr/>
        <w:t>).</w:t>
      </w:r>
    </w:p>
    <w:p>
      <w:pPr>
        <w:pStyle w:val="Normal"/>
        <w:rPr/>
      </w:pPr>
      <w:r>
        <w:rPr/>
        <w:t>3.5. Už dokumentų teikimą ar paėmimą </w:t>
      </w:r>
      <w:r>
        <w:rPr>
          <w:b/>
          <w:bCs/>
        </w:rPr>
        <w:t>popieriniu pavidalu</w:t>
      </w:r>
      <w:r>
        <w:rPr/>
        <w:t> taikomas papildomas mokestis pagal Priedą Nr. 1.</w:t>
      </w:r>
    </w:p>
    <w:p>
      <w:pPr>
        <w:pStyle w:val="Normal"/>
        <w:rPr/>
      </w:pPr>
      <w:r>
        <w:rPr/>
        <w:t>3.6. Informacija apie darbuotojų priėmimą į darbą ar atleidimą perduodama ne vėliau kaip </w:t>
      </w:r>
      <w:r>
        <w:rPr>
          <w:b/>
          <w:bCs/>
        </w:rPr>
        <w:t>prieš 1 (vieną) darbo dieną</w:t>
      </w:r>
      <w:r>
        <w:rPr/>
        <w:t> iki numatomų pokyčių.</w:t>
      </w:r>
    </w:p>
    <w:p>
      <w:pPr>
        <w:pStyle w:val="Normal"/>
        <w:rPr/>
      </w:pPr>
      <w:r>
        <w:rPr/>
        <w:t>3.7. Užsakovas nedelsdamas informuoja Vykdytoją apie bet kokius pasikeitimus:</w:t>
      </w:r>
    </w:p>
    <w:p>
      <w:pPr>
        <w:pStyle w:val="Normal"/>
        <w:numPr>
          <w:ilvl w:val="0"/>
          <w:numId w:val="9"/>
        </w:numPr>
        <w:rPr/>
      </w:pPr>
      <w:r>
        <w:rPr/>
        <w:t>įmonės pavadinime, buveinės adrese;</w:t>
      </w:r>
    </w:p>
    <w:p>
      <w:pPr>
        <w:pStyle w:val="Normal"/>
        <w:numPr>
          <w:ilvl w:val="0"/>
          <w:numId w:val="9"/>
        </w:numPr>
        <w:rPr/>
      </w:pPr>
      <w:r>
        <w:rPr/>
        <w:t>vadovuose ar kituose atstovuose;</w:t>
      </w:r>
    </w:p>
    <w:p>
      <w:pPr>
        <w:pStyle w:val="Normal"/>
        <w:numPr>
          <w:ilvl w:val="0"/>
          <w:numId w:val="9"/>
        </w:numPr>
        <w:rPr/>
      </w:pPr>
      <w:r>
        <w:rPr/>
        <w:t>kontaktiniuose duomenyse (telefonas, el. paštas).</w:t>
      </w:r>
    </w:p>
    <w:p>
      <w:pPr>
        <w:pStyle w:val="Normal"/>
        <w:rPr/>
      </w:pPr>
      <w:r>
        <w:rPr/>
        <w:t>3.8. </w:t>
      </w:r>
      <w:r>
        <w:rPr>
          <w:b/>
          <w:bCs/>
        </w:rPr>
        <w:t>Kliento sistema:</w:t>
      </w:r>
    </w:p>
    <w:p>
      <w:pPr>
        <w:pStyle w:val="Normal"/>
        <w:numPr>
          <w:ilvl w:val="0"/>
          <w:numId w:val="10"/>
        </w:numPr>
        <w:rPr/>
      </w:pPr>
      <w:r>
        <w:rPr/>
        <w:t>Užsakovui suteikiama prieiga prie </w:t>
      </w:r>
      <w:r>
        <w:rPr>
          <w:b/>
          <w:bCs/>
        </w:rPr>
        <w:t>Kliento sistemos</w:t>
      </w:r>
      <w:r>
        <w:rPr/>
        <w:t> visam Sutarties galiojimo laikotarpiu.</w:t>
      </w:r>
    </w:p>
    <w:p>
      <w:pPr>
        <w:pStyle w:val="Normal"/>
        <w:numPr>
          <w:ilvl w:val="0"/>
          <w:numId w:val="10"/>
        </w:numPr>
        <w:rPr/>
      </w:pPr>
      <w:r>
        <w:rPr/>
        <w:t>Kliento sistemoje Užsakovas gali:</w:t>
      </w:r>
    </w:p>
    <w:p>
      <w:pPr>
        <w:pStyle w:val="Normal"/>
        <w:numPr>
          <w:ilvl w:val="1"/>
          <w:numId w:val="10"/>
        </w:numPr>
        <w:rPr/>
      </w:pPr>
      <w:r>
        <w:rPr/>
        <w:t>įkelti dokumentus;</w:t>
      </w:r>
    </w:p>
    <w:p>
      <w:pPr>
        <w:pStyle w:val="Normal"/>
        <w:numPr>
          <w:ilvl w:val="1"/>
          <w:numId w:val="10"/>
        </w:numPr>
        <w:rPr/>
      </w:pPr>
      <w:r>
        <w:rPr/>
        <w:t>bendrauti su Vykdytoju;</w:t>
      </w:r>
    </w:p>
    <w:p>
      <w:pPr>
        <w:pStyle w:val="Normal"/>
        <w:numPr>
          <w:ilvl w:val="1"/>
          <w:numId w:val="10"/>
        </w:numPr>
        <w:rPr/>
      </w:pPr>
      <w:r>
        <w:rPr/>
        <w:t>išrašyti sąskaitas;</w:t>
      </w:r>
    </w:p>
    <w:p>
      <w:pPr>
        <w:pStyle w:val="Normal"/>
        <w:numPr>
          <w:ilvl w:val="1"/>
          <w:numId w:val="10"/>
        </w:numPr>
        <w:rPr/>
      </w:pPr>
      <w:r>
        <w:rPr/>
        <w:t>naudotis visa kita sistemos funkcionalumu.</w:t>
      </w:r>
    </w:p>
    <w:p>
      <w:pPr>
        <w:pStyle w:val="Normal"/>
        <w:numPr>
          <w:ilvl w:val="0"/>
          <w:numId w:val="10"/>
        </w:numPr>
        <w:rPr/>
      </w:pPr>
      <w:r>
        <w:rPr/>
        <w:t>Kliento sistema teikiama </w:t>
      </w:r>
      <w:r>
        <w:rPr>
          <w:b/>
          <w:bCs/>
        </w:rPr>
        <w:t>nemokamai</w:t>
      </w:r>
      <w:r>
        <w:rPr/>
        <w:t>.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943600" cy="9525"/>
                <wp:effectExtent l="0" t="0" r="0" b="0"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3" name=""/>
                        <wps:cNvSpPr/>
                      </wps:nvSpPr>
                      <wps:spPr>
                        <a:xfrm>
                          <a:off x="0" y="0"/>
                          <a:ext cx="5943600" cy="936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0.8pt;width:467.95pt;height:0.7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4. ŠALIŲ ĮSIPAREIGOJIMAI</w:t>
      </w:r>
    </w:p>
    <w:p>
      <w:pPr>
        <w:pStyle w:val="Normal"/>
        <w:rPr/>
      </w:pPr>
      <w:r>
        <w:rPr>
          <w:b/>
          <w:bCs/>
        </w:rPr>
        <w:t>4.1. Užsakovas įsipareigoja:</w:t>
      </w:r>
    </w:p>
    <w:p>
      <w:pPr>
        <w:pStyle w:val="Normal"/>
        <w:numPr>
          <w:ilvl w:val="0"/>
          <w:numId w:val="11"/>
        </w:numPr>
        <w:rPr/>
      </w:pPr>
      <w:r>
        <w:rPr/>
        <w:t>Pateikti teisingus, išsamius ir teisėtus pirminius apskaitos dokumentus.</w:t>
      </w:r>
    </w:p>
    <w:p>
      <w:pPr>
        <w:pStyle w:val="Normal"/>
        <w:numPr>
          <w:ilvl w:val="0"/>
          <w:numId w:val="11"/>
        </w:numPr>
        <w:rPr/>
      </w:pPr>
      <w:r>
        <w:rPr/>
        <w:t>Laiku teikti visą informaciją, reikalingą Paslaugoms teikti.</w:t>
      </w:r>
    </w:p>
    <w:p>
      <w:pPr>
        <w:pStyle w:val="Normal"/>
        <w:numPr>
          <w:ilvl w:val="0"/>
          <w:numId w:val="11"/>
        </w:numPr>
        <w:rPr/>
      </w:pPr>
      <w:r>
        <w:rPr/>
        <w:t>Laiku informuoti Vykdytoją apie PVM prievolės atsiradimą ar pasikeitimus.</w:t>
      </w:r>
    </w:p>
    <w:p>
      <w:pPr>
        <w:pStyle w:val="Normal"/>
        <w:numPr>
          <w:ilvl w:val="0"/>
          <w:numId w:val="11"/>
        </w:numPr>
        <w:rPr/>
      </w:pPr>
      <w:r>
        <w:rPr/>
        <w:t>Suteikti Vykdytojui reikiamus įgaliojimus atstovauti Užsakovui valstybės institucijose (VMI, „Sodra“, Registrų centras ir kt.).</w:t>
      </w:r>
    </w:p>
    <w:p>
      <w:pPr>
        <w:pStyle w:val="Normal"/>
        <w:numPr>
          <w:ilvl w:val="0"/>
          <w:numId w:val="11"/>
        </w:numPr>
        <w:rPr/>
      </w:pPr>
      <w:r>
        <w:rPr/>
        <w:t>Nedelsdamas pranešti apie bet kokius su Sutarties vykdymu susijusių duomenų pasikeitimus.</w:t>
      </w:r>
    </w:p>
    <w:p>
      <w:pPr>
        <w:pStyle w:val="Normal"/>
        <w:rPr/>
      </w:pPr>
      <w:r>
        <w:rPr>
          <w:b/>
          <w:bCs/>
        </w:rPr>
        <w:t>4.2. Vykdytojas įsipareigoja:</w:t>
      </w:r>
    </w:p>
    <w:p>
      <w:pPr>
        <w:pStyle w:val="Normal"/>
        <w:numPr>
          <w:ilvl w:val="0"/>
          <w:numId w:val="12"/>
        </w:numPr>
        <w:rPr/>
      </w:pPr>
      <w:r>
        <w:rPr/>
        <w:t>Teikti Paslaugas kokybiškai, profesionaliai ir laiku, vadovaudamasis Priedu Nr. 1.</w:t>
      </w:r>
    </w:p>
    <w:p>
      <w:pPr>
        <w:pStyle w:val="Normal"/>
        <w:numPr>
          <w:ilvl w:val="0"/>
          <w:numId w:val="12"/>
        </w:numPr>
        <w:rPr/>
      </w:pPr>
      <w:r>
        <w:rPr/>
        <w:t>Atsakyti tik už tuos dokumentus, kurie yra oficialiai registruoti ir patvirtinti Užsakovo.</w:t>
      </w:r>
    </w:p>
    <w:p>
      <w:pPr>
        <w:pStyle w:val="Normal"/>
        <w:numPr>
          <w:ilvl w:val="0"/>
          <w:numId w:val="12"/>
        </w:numPr>
        <w:rPr/>
      </w:pPr>
      <w:r>
        <w:rPr/>
        <w:t>Pranešti Užsakovui apie pastebėtus dokumentų trūkumus ar neatitikimus.</w:t>
      </w:r>
    </w:p>
    <w:p>
      <w:pPr>
        <w:pStyle w:val="Normal"/>
        <w:numPr>
          <w:ilvl w:val="0"/>
          <w:numId w:val="12"/>
        </w:numPr>
        <w:rPr/>
      </w:pPr>
      <w:r>
        <w:rPr/>
        <w:t>Teikti rašytines konsultacijas gavus Užsakovo paklausimą.</w:t>
      </w:r>
    </w:p>
    <w:p>
      <w:pPr>
        <w:pStyle w:val="Normal"/>
        <w:numPr>
          <w:ilvl w:val="0"/>
          <w:numId w:val="12"/>
        </w:numPr>
        <w:rPr/>
      </w:pPr>
      <w:r>
        <w:rPr/>
        <w:t>Užtikrinti Paslaugų teikimą, nepriklausomai nuo to, ar Paslaugoms teikti pasitelkiami tretieji asmenys (subtvarkytojai). Vykdytojas atsako už jų veiksmus kaip už savus.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943600" cy="9525"/>
                <wp:effectExtent l="0" t="0" r="0" b="0"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4" name=""/>
                        <wps:cNvSpPr/>
                      </wps:nvSpPr>
                      <wps:spPr>
                        <a:xfrm>
                          <a:off x="0" y="0"/>
                          <a:ext cx="5943600" cy="936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0.8pt;width:467.95pt;height:0.7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5. ŠALIŲ ATSAKOMYBĖ</w:t>
      </w:r>
    </w:p>
    <w:p>
      <w:pPr>
        <w:pStyle w:val="Normal"/>
        <w:rPr/>
      </w:pPr>
      <w:r>
        <w:rPr/>
        <w:t>5.1. Vykdytojo civilinė atsakomybė už bet kokius nuostolius, patirtus dėl Vykdytojo kaltės, </w:t>
      </w:r>
      <w:r>
        <w:rPr>
          <w:b/>
          <w:bCs/>
        </w:rPr>
        <w:t>ribojama 6 (šešių) mėnesių vidutinių mokėjimų už Paslaugas suma</w:t>
      </w:r>
      <w:r>
        <w:rPr/>
        <w:t> arba faktinių tiesioginių nuostolių dydžiu (taikoma mažesnė suma).</w:t>
      </w:r>
    </w:p>
    <w:p>
      <w:pPr>
        <w:pStyle w:val="Normal"/>
        <w:rPr/>
      </w:pPr>
      <w:r>
        <w:rPr/>
        <w:t>5.2. Vykdytojas </w:t>
      </w:r>
      <w:r>
        <w:rPr>
          <w:b/>
          <w:bCs/>
        </w:rPr>
        <w:t>neatsako</w:t>
      </w:r>
      <w:r>
        <w:rPr/>
        <w:t> už:</w:t>
      </w:r>
    </w:p>
    <w:p>
      <w:pPr>
        <w:pStyle w:val="Normal"/>
        <w:numPr>
          <w:ilvl w:val="0"/>
          <w:numId w:val="13"/>
        </w:numPr>
        <w:rPr/>
      </w:pPr>
      <w:r>
        <w:rPr/>
        <w:t>Užsakovo pateiktų dokumentų turinio teisėtumą, tikslumą ar išsamumą;</w:t>
      </w:r>
    </w:p>
    <w:p>
      <w:pPr>
        <w:pStyle w:val="Normal"/>
        <w:numPr>
          <w:ilvl w:val="0"/>
          <w:numId w:val="13"/>
        </w:numPr>
        <w:rPr/>
      </w:pPr>
      <w:r>
        <w:rPr/>
        <w:t>Užsakovo veiksmus, prieštaraujančius galiojantiems teisės aktams;</w:t>
      </w:r>
    </w:p>
    <w:p>
      <w:pPr>
        <w:pStyle w:val="Normal"/>
        <w:numPr>
          <w:ilvl w:val="0"/>
          <w:numId w:val="13"/>
        </w:numPr>
        <w:rPr/>
      </w:pPr>
      <w:r>
        <w:rPr/>
        <w:t>Paslaugų nevykdymą, jei tai įvyko dėl Užsakovo įsipareigojimų nevykdymo.</w:t>
      </w:r>
    </w:p>
    <w:p>
      <w:pPr>
        <w:pStyle w:val="Normal"/>
        <w:rPr/>
      </w:pPr>
      <w:r>
        <w:rPr/>
        <w:t>5.3. Užsakovas prisiima visą atsakomybę už savo veiksmų atitiktį įstatymams.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943600" cy="9525"/>
                <wp:effectExtent l="0" t="0" r="0" b="0"/>
                <wp:docPr id="6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5" name=""/>
                        <wps:cNvSpPr/>
                      </wps:nvSpPr>
                      <wps:spPr>
                        <a:xfrm>
                          <a:off x="0" y="0"/>
                          <a:ext cx="5943600" cy="936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0.8pt;width:467.95pt;height:0.7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6. KONFIDENCIALUMAS IR DUOMENŲ APSAUGA</w:t>
      </w:r>
    </w:p>
    <w:p>
      <w:pPr>
        <w:pStyle w:val="Normal"/>
        <w:rPr/>
      </w:pPr>
      <w:r>
        <w:rPr/>
        <w:t>6.1. Šalys įsipareigoja užtikrinti konfidencialios informacijos apsaugą pagal </w:t>
      </w:r>
      <w:r>
        <w:rPr>
          <w:b/>
          <w:bCs/>
        </w:rPr>
        <w:t>Priedą Nr. 2 (Konfidencialumo apsaugos sąlygos)</w:t>
      </w:r>
      <w:r>
        <w:rPr/>
        <w:t>.</w:t>
      </w:r>
    </w:p>
    <w:p>
      <w:pPr>
        <w:pStyle w:val="Normal"/>
        <w:rPr/>
      </w:pPr>
      <w:r>
        <w:rPr/>
        <w:t>6.2. Asmens duomenų tvarkymas vykdomas pagal </w:t>
      </w:r>
      <w:r>
        <w:rPr>
          <w:b/>
          <w:bCs/>
        </w:rPr>
        <w:t>Priedą Nr. 3 (Asmens duomenų tvarkymo sąlygos)</w:t>
      </w:r>
      <w:r>
        <w:rPr/>
        <w:t> ir BDAR reikalavimus.</w:t>
      </w:r>
    </w:p>
    <w:p>
      <w:pPr>
        <w:pStyle w:val="Normal"/>
        <w:rPr>
          <w:lang w:val="pl-PL"/>
        </w:rPr>
      </w:pPr>
      <w:r>
        <w:rPr>
          <w:lang w:val="pl-PL"/>
        </w:rPr>
        <w:t>6.3. Priedai Nr. 2 ir Nr. 3 patvirtinami elektroniniu būdu kartu su šia Sutartimi.</w:t>
      </w:r>
    </w:p>
    <w:p>
      <w:pPr>
        <w:pStyle w:val="Normal"/>
        <w:rPr>
          <w:lang w:val="pl-PL"/>
        </w:rPr>
      </w:pPr>
      <w:r>
        <w:rPr>
          <w:lang w:val="pl-PL"/>
        </w:rPr>
        <w:t>6.4. Vykdytojas turi teisę perduoti informaciją, susijusią su Sutarties vykdymu, tik Užsakovo įgaliotiems kontaktiniams asmenims, nurodytiems </w:t>
      </w:r>
      <w:r>
        <w:rPr>
          <w:b/>
          <w:bCs/>
          <w:lang w:val="pl-PL"/>
        </w:rPr>
        <w:t>Priede Nr. 4 (Kontaktinių asmenų sąrašas)</w:t>
      </w:r>
      <w:r>
        <w:rPr>
          <w:lang w:val="pl-PL"/>
        </w:rPr>
        <w:t>.</w:t>
      </w:r>
    </w:p>
    <w:p>
      <w:pPr>
        <w:pStyle w:val="Normal"/>
        <w:rPr>
          <w:lang w:val="pl-PL"/>
        </w:rPr>
      </w:pPr>
      <w:r>
        <w:rPr>
          <w:lang w:val="pl-PL"/>
        </w:rPr>
        <w:t>6.5. Visa intelektinė nuosavybė (programinė įranga, metodikos, darbo priemonės), kurią Vykdytojas naudoja ar sukuria Paslaugų teikimo metu, lieka Vykdytojo nuosavybe.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943600" cy="9525"/>
                <wp:effectExtent l="0" t="0" r="0" b="0"/>
                <wp:docPr id="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6" name=""/>
                        <wps:cNvSpPr/>
                      </wps:nvSpPr>
                      <wps:spPr>
                        <a:xfrm>
                          <a:off x="0" y="0"/>
                          <a:ext cx="5943600" cy="936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0.8pt;width:467.95pt;height:0.7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7. SUTARTIES GALIOJIMAS, KEITIMAS IR NUTRAUKIMAS</w:t>
      </w:r>
    </w:p>
    <w:p>
      <w:pPr>
        <w:pStyle w:val="Normal"/>
        <w:rPr/>
      </w:pPr>
      <w:r>
        <w:rPr/>
        <w:t>7.1. </w:t>
      </w:r>
      <w:r>
        <w:rPr>
          <w:b/>
          <w:bCs/>
        </w:rPr>
        <w:t>Įsigaliojimas:</w:t>
      </w:r>
    </w:p>
    <w:p>
      <w:pPr>
        <w:pStyle w:val="Normal"/>
        <w:numPr>
          <w:ilvl w:val="0"/>
          <w:numId w:val="14"/>
        </w:numPr>
        <w:rPr/>
      </w:pPr>
      <w:r>
        <w:rPr/>
        <w:t>Sutartis įsigalioja nuo to momento, kai Užsakovas, prisijungęs prie Kliento sistemos (</w:t>
      </w:r>
      <w:hyperlink r:id="rId4" w:tgtFrame="_blank">
        <w:r>
          <w:rPr>
            <w:rStyle w:val="InternetLink"/>
          </w:rPr>
          <w:t>www.smartaccountai.lt</w:t>
        </w:r>
      </w:hyperlink>
      <w:r>
        <w:rPr/>
        <w:t>), atlieka veiksmą </w:t>
      </w:r>
      <w:r>
        <w:rPr>
          <w:b/>
          <w:bCs/>
        </w:rPr>
        <w:t>„Patvirtinti visus dokumentus“</w:t>
      </w:r>
      <w:r>
        <w:rPr/>
        <w:t> (arba analogišką veiksmą).</w:t>
      </w:r>
    </w:p>
    <w:p>
      <w:pPr>
        <w:pStyle w:val="Normal"/>
        <w:numPr>
          <w:ilvl w:val="0"/>
          <w:numId w:val="14"/>
        </w:numPr>
        <w:rPr>
          <w:lang w:val="pl-PL"/>
        </w:rPr>
      </w:pPr>
      <w:r>
        <w:rPr>
          <w:lang w:val="pl-PL"/>
        </w:rPr>
        <w:t>Elektroninis patvirtinimas prilygsta ranka rašytam parašui.</w:t>
      </w:r>
    </w:p>
    <w:p>
      <w:pPr>
        <w:pStyle w:val="Normal"/>
        <w:rPr/>
      </w:pPr>
      <w:r>
        <w:rPr/>
        <w:t>7.2. </w:t>
      </w:r>
      <w:r>
        <w:rPr>
          <w:b/>
          <w:bCs/>
        </w:rPr>
        <w:t>Galiojimo trukmė:</w:t>
      </w:r>
    </w:p>
    <w:p>
      <w:pPr>
        <w:pStyle w:val="Normal"/>
        <w:numPr>
          <w:ilvl w:val="0"/>
          <w:numId w:val="15"/>
        </w:numPr>
        <w:rPr/>
      </w:pPr>
      <w:r>
        <w:rPr/>
        <w:t>Sutartis sudaroma neterminuotai ir galioja iki jos nutraukimo.</w:t>
      </w:r>
    </w:p>
    <w:p>
      <w:pPr>
        <w:pStyle w:val="Normal"/>
        <w:rPr/>
      </w:pPr>
      <w:r>
        <w:rPr/>
        <w:t>7.3. </w:t>
      </w:r>
      <w:r>
        <w:rPr>
          <w:b/>
          <w:bCs/>
        </w:rPr>
        <w:t>Nutraukimas Šalių iniciatyva:</w:t>
      </w:r>
    </w:p>
    <w:p>
      <w:pPr>
        <w:pStyle w:val="Normal"/>
        <w:numPr>
          <w:ilvl w:val="0"/>
          <w:numId w:val="16"/>
        </w:numPr>
        <w:rPr/>
      </w:pPr>
      <w:r>
        <w:rPr/>
        <w:t>Bet kuri Šalis gali nutraukti Sutartį, raštu įspėjusi kitą Šalį </w:t>
      </w:r>
      <w:r>
        <w:rPr>
          <w:b/>
          <w:bCs/>
        </w:rPr>
        <w:t>ne vėliau kaip prieš 1 (vieną) mėnesį</w:t>
      </w:r>
      <w:r>
        <w:rPr/>
        <w:t>.</w:t>
      </w:r>
    </w:p>
    <w:p>
      <w:pPr>
        <w:pStyle w:val="Normal"/>
        <w:rPr/>
      </w:pPr>
      <w:r>
        <w:rPr/>
        <w:t>7.4. </w:t>
      </w:r>
      <w:r>
        <w:rPr>
          <w:b/>
          <w:bCs/>
        </w:rPr>
        <w:t>Automatinis nutraukimas dėl neapmokėjimo:</w:t>
      </w:r>
    </w:p>
    <w:p>
      <w:pPr>
        <w:pStyle w:val="Normal"/>
        <w:numPr>
          <w:ilvl w:val="0"/>
          <w:numId w:val="17"/>
        </w:numPr>
        <w:rPr/>
      </w:pPr>
      <w:r>
        <w:rPr/>
        <w:t>Sutartis automatiškai nutraukiama, jei Užsakovas neapmoka sąskaitų </w:t>
      </w:r>
      <w:r>
        <w:rPr>
          <w:b/>
          <w:bCs/>
        </w:rPr>
        <w:t>ilgiau kaip 60 (šešiasdešimt) kalendorinių dienų</w:t>
      </w:r>
      <w:r>
        <w:rPr/>
        <w:t>.</w:t>
      </w:r>
    </w:p>
    <w:p>
      <w:pPr>
        <w:pStyle w:val="Normal"/>
        <w:rPr/>
      </w:pPr>
      <w:r>
        <w:rPr/>
        <w:t>7.5. </w:t>
      </w:r>
      <w:r>
        <w:rPr>
          <w:b/>
          <w:bCs/>
        </w:rPr>
        <w:t>Nutraukimas per pirmuosius 3 mėnesius:</w:t>
      </w:r>
    </w:p>
    <w:p>
      <w:pPr>
        <w:pStyle w:val="Normal"/>
        <w:numPr>
          <w:ilvl w:val="0"/>
          <w:numId w:val="18"/>
        </w:numPr>
        <w:rPr/>
      </w:pPr>
      <w:r>
        <w:rPr/>
        <w:t>Jei Sutartis nutraukiama </w:t>
      </w:r>
      <w:r>
        <w:rPr>
          <w:b/>
          <w:bCs/>
        </w:rPr>
        <w:t>per pirmuosius 3 (tris) paslaugų teikimo mėnesius</w:t>
      </w:r>
      <w:r>
        <w:rPr/>
        <w:t> dėl Užsakovo kaltės (t. y. dėl netinkamo sutarties vykdymo, vėlavimo atsiskaityti ar Užsakovo iniciatyva), Užsakovas sumoka Vykdytojui </w:t>
      </w:r>
      <w:r>
        <w:rPr>
          <w:b/>
          <w:bCs/>
        </w:rPr>
        <w:t>300 EUR (tris šimtus eurų) baudą</w:t>
      </w:r>
      <w:r>
        <w:rPr/>
        <w:t>.</w:t>
      </w:r>
    </w:p>
    <w:p>
      <w:pPr>
        <w:pStyle w:val="Normal"/>
        <w:numPr>
          <w:ilvl w:val="0"/>
          <w:numId w:val="18"/>
        </w:numPr>
        <w:rPr/>
      </w:pPr>
      <w:r>
        <w:rPr/>
        <w:t>Ši bauda laikoma Vykdytojo patirtomis administracinėmis išlaidomis ir nepriklauso nuo vėluojamos sumos dydžio ar laikotarpio.</w:t>
      </w:r>
    </w:p>
    <w:p>
      <w:pPr>
        <w:pStyle w:val="Normal"/>
        <w:rPr/>
      </w:pPr>
      <w:r>
        <w:rPr/>
        <w:t>7.6. </w:t>
      </w:r>
      <w:r>
        <w:rPr>
          <w:b/>
          <w:bCs/>
        </w:rPr>
        <w:t>Pasekmės pasibaigus sutarčiai:</w:t>
      </w:r>
    </w:p>
    <w:p>
      <w:pPr>
        <w:pStyle w:val="Normal"/>
        <w:numPr>
          <w:ilvl w:val="0"/>
          <w:numId w:val="19"/>
        </w:numPr>
        <w:rPr/>
      </w:pPr>
      <w:r>
        <w:rPr/>
        <w:t>Pasibaigus Sutarties galiojimui, Vykdytojas per </w:t>
      </w:r>
      <w:r>
        <w:rPr>
          <w:b/>
          <w:bCs/>
        </w:rPr>
        <w:t>30 (trisdešimt) darbo dienų</w:t>
      </w:r>
      <w:r>
        <w:rPr/>
        <w:t> parengia ir perduoda Užsakovui buhalterinius likučius pagal </w:t>
      </w:r>
      <w:r>
        <w:rPr>
          <w:b/>
          <w:bCs/>
        </w:rPr>
        <w:t>Priedą Nr. 5 (Likučių priėmimo-perdavimo aktas)</w:t>
      </w:r>
      <w:r>
        <w:rPr/>
        <w:t>.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943600" cy="9525"/>
                <wp:effectExtent l="0" t="0" r="0" b="0"/>
                <wp:docPr id="8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7" name=""/>
                        <wps:cNvSpPr/>
                      </wps:nvSpPr>
                      <wps:spPr>
                        <a:xfrm>
                          <a:off x="0" y="0"/>
                          <a:ext cx="5943600" cy="936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0.8pt;width:467.95pt;height:0.7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8. GINČŲ SPRENDIMAS</w:t>
      </w:r>
    </w:p>
    <w:p>
      <w:pPr>
        <w:pStyle w:val="Normal"/>
        <w:rPr/>
      </w:pPr>
      <w:r>
        <w:rPr/>
        <w:t>8.1. Visi ginčai, kylantys iš šios Sutarties ar su ja susiję, pirmiausia sprendžiami derybų būdu.</w:t>
      </w:r>
    </w:p>
    <w:p>
      <w:pPr>
        <w:pStyle w:val="Normal"/>
        <w:rPr/>
      </w:pPr>
      <w:r>
        <w:rPr/>
        <w:t>8.2. Nepavykus susitarti derybų keliu, ginčai sprendžiami </w:t>
      </w:r>
      <w:r>
        <w:rPr>
          <w:b/>
          <w:bCs/>
        </w:rPr>
        <w:t>Vilniaus miesto apylinkės teisme</w:t>
      </w:r>
      <w:r>
        <w:rPr/>
        <w:t> pagal Lietuvos Respublikos teisę.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943600" cy="9525"/>
                <wp:effectExtent l="0" t="0" r="0" b="0"/>
                <wp:docPr id="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8" name=""/>
                        <wps:cNvSpPr/>
                      </wps:nvSpPr>
                      <wps:spPr>
                        <a:xfrm>
                          <a:off x="0" y="0"/>
                          <a:ext cx="5943600" cy="936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0.8pt;width:467.95pt;height:0.7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9. PRIEDAI</w:t>
      </w:r>
    </w:p>
    <w:p>
      <w:pPr>
        <w:pStyle w:val="Normal"/>
        <w:rPr/>
      </w:pPr>
      <w:r>
        <w:rPr/>
        <w:t>9.1. Šios Sutarties neatsiejama dalis yra šie priedai:</w:t>
      </w:r>
    </w:p>
    <w:tbl>
      <w:tblPr>
        <w:tblW w:w="11280" w:type="dxa"/>
        <w:jc w:val="left"/>
        <w:tblInd w:w="0" w:type="dxa"/>
        <w:tblLayout w:type="fixed"/>
        <w:tblCellMar>
          <w:top w:w="150" w:type="dxa"/>
          <w:left w:w="0" w:type="dxa"/>
          <w:bottom w:w="150" w:type="dxa"/>
          <w:right w:w="240" w:type="dxa"/>
        </w:tblCellMar>
        <w:tblLook w:firstRow="1" w:noVBand="1" w:lastRow="0" w:firstColumn="1" w:lastColumn="0" w:noHBand="0" w:val="04a0"/>
      </w:tblPr>
      <w:tblGrid>
        <w:gridCol w:w="3223"/>
        <w:gridCol w:w="8056"/>
      </w:tblGrid>
      <w:tr>
        <w:trPr>
          <w:tblHeader w:val="true"/>
        </w:trPr>
        <w:tc>
          <w:tcPr>
            <w:tcW w:w="3223" w:type="dxa"/>
            <w:tcBorders/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Priedas</w:t>
            </w:r>
          </w:p>
        </w:tc>
        <w:tc>
          <w:tcPr>
            <w:tcW w:w="8056" w:type="dxa"/>
            <w:tcBorders/>
            <w:tcMar>
              <w:left w:w="240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Pavadinimas</w:t>
            </w:r>
          </w:p>
        </w:tc>
      </w:tr>
      <w:tr>
        <w:trPr/>
        <w:tc>
          <w:tcPr>
            <w:tcW w:w="3223" w:type="dxa"/>
            <w:tcBorders/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>
                <w:b/>
                <w:bCs/>
              </w:rPr>
              <w:t>Priedas Nr. 1</w:t>
            </w:r>
          </w:p>
        </w:tc>
        <w:tc>
          <w:tcPr>
            <w:tcW w:w="8056" w:type="dxa"/>
            <w:tcBorders/>
            <w:tcMar>
              <w:left w:w="240" w:type="dxa"/>
              <w:right w:w="0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Paslaugų kainoraštis</w:t>
            </w:r>
          </w:p>
        </w:tc>
      </w:tr>
      <w:tr>
        <w:trPr/>
        <w:tc>
          <w:tcPr>
            <w:tcW w:w="3223" w:type="dxa"/>
            <w:tcBorders/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>
                <w:b/>
                <w:bCs/>
              </w:rPr>
              <w:t>Priedas Nr. 2</w:t>
            </w:r>
          </w:p>
        </w:tc>
        <w:tc>
          <w:tcPr>
            <w:tcW w:w="8056" w:type="dxa"/>
            <w:tcBorders/>
            <w:tcMar>
              <w:left w:w="240" w:type="dxa"/>
              <w:right w:w="0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Konfidencialumo apsaugos sąlygos</w:t>
            </w:r>
          </w:p>
        </w:tc>
      </w:tr>
      <w:tr>
        <w:trPr/>
        <w:tc>
          <w:tcPr>
            <w:tcW w:w="3223" w:type="dxa"/>
            <w:tcBorders/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>
                <w:b/>
                <w:bCs/>
              </w:rPr>
              <w:t>Priedas Nr. 3</w:t>
            </w:r>
          </w:p>
        </w:tc>
        <w:tc>
          <w:tcPr>
            <w:tcW w:w="8056" w:type="dxa"/>
            <w:tcBorders/>
            <w:tcMar>
              <w:left w:w="240" w:type="dxa"/>
              <w:right w:w="0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Asmens duomenų tvarkymo sąlygos</w:t>
            </w:r>
          </w:p>
        </w:tc>
      </w:tr>
      <w:tr>
        <w:trPr/>
        <w:tc>
          <w:tcPr>
            <w:tcW w:w="3223" w:type="dxa"/>
            <w:tcBorders/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>
                <w:b/>
                <w:bCs/>
              </w:rPr>
              <w:t>Priedas Nr. 4</w:t>
            </w:r>
          </w:p>
        </w:tc>
        <w:tc>
          <w:tcPr>
            <w:tcW w:w="8056" w:type="dxa"/>
            <w:tcBorders/>
            <w:tcMar>
              <w:left w:w="240" w:type="dxa"/>
              <w:right w:w="0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Kontaktinių asmenų sąrašas</w:t>
            </w:r>
          </w:p>
        </w:tc>
      </w:tr>
      <w:tr>
        <w:trPr/>
        <w:tc>
          <w:tcPr>
            <w:tcW w:w="3223" w:type="dxa"/>
            <w:tcBorders/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>
                <w:b/>
                <w:bCs/>
              </w:rPr>
              <w:t>Priedas Nr. 5</w:t>
            </w:r>
          </w:p>
        </w:tc>
        <w:tc>
          <w:tcPr>
            <w:tcW w:w="8056" w:type="dxa"/>
            <w:tcBorders/>
            <w:tcMar>
              <w:left w:w="240" w:type="dxa"/>
              <w:right w:w="0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Likučių priėmimo-perdavimo aktas</w:t>
            </w:r>
          </w:p>
        </w:tc>
      </w:tr>
    </w:tbl>
    <w:p>
      <w:pPr>
        <w:pStyle w:val="Normal"/>
        <w:rPr/>
      </w:pPr>
      <w:r>
        <w:rPr/>
        <w:t>9.2. Visi priedai turi tokią pačią juridinę galią kaip ir pagrindinis Sutarties tekstas.</w:t>
      </w:r>
    </w:p>
    <w:p>
      <w:pPr>
        <w:pStyle w:val="Normal"/>
        <w:rPr/>
      </w:pPr>
      <w:r>
        <w:rPr/>
        <w:t>9.3. Sutartis įsigalioja ir sukuria finansinius įsipareigojimus tik po to, kai Užsakovas patvirtina </w:t>
      </w:r>
      <w:r>
        <w:rPr>
          <w:b/>
          <w:bCs/>
        </w:rPr>
        <w:t>Priedą Nr. 1 (Paslaugų kainoraštis)</w:t>
      </w:r>
      <w:r>
        <w:rPr/>
        <w:t> kartu su šia Sutartimi elektroniniu būdu.</w:t>
      </w:r>
    </w:p>
    <w:p>
      <w:pPr>
        <w:pStyle w:val="Normal"/>
        <w:rPr/>
      </w:pPr>
      <w:r>
        <w:rPr/>
        <w:t>9.4. Ši Sutartis, visi jos priedai ir kiti susiję dokumentai (pvz., Privatumo politika) yra patvirtinami </w:t>
      </w:r>
      <w:r>
        <w:rPr>
          <w:b/>
          <w:bCs/>
        </w:rPr>
        <w:t>vienu metu, vienu mygtuko paspaudimu</w:t>
      </w:r>
      <w:r>
        <w:rPr/>
        <w:t>, Užsakovui prisijungus prie Kliento sistemos </w:t>
      </w:r>
      <w:hyperlink r:id="rId5" w:tgtFrame="_blank">
        <w:r>
          <w:rPr>
            <w:rStyle w:val="InternetLink"/>
            <w:b/>
            <w:bCs/>
          </w:rPr>
          <w:t>www.smartaccountai.lt</w:t>
        </w:r>
      </w:hyperlink>
      <w:r>
        <w:rPr/>
        <w:t> ir atlikus patvirtinimo veiksmą.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943600" cy="9525"/>
                <wp:effectExtent l="0" t="0" r="0" b="0"/>
                <wp:docPr id="10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9" name=""/>
                        <wps:cNvSpPr/>
                      </wps:nvSpPr>
                      <wps:spPr>
                        <a:xfrm>
                          <a:off x="0" y="0"/>
                          <a:ext cx="5943600" cy="936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0.8pt;width:467.95pt;height:0.7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10. ELEKTRONINIS PATVIRTINIMAS</w:t>
      </w:r>
    </w:p>
    <w:p>
      <w:pPr>
        <w:pStyle w:val="Normal"/>
        <w:rPr/>
      </w:pPr>
      <w:r>
        <w:rPr/>
        <w:t>10.1. Ši Sutartis ir visi jos priedai yra pasirašomi </w:t>
      </w:r>
      <w:r>
        <w:rPr>
          <w:b/>
          <w:bCs/>
        </w:rPr>
        <w:t>elektroniniu būdu</w:t>
      </w:r>
      <w:r>
        <w:rPr/>
        <w:t> per Vykdytojo Kliento sistemą.</w:t>
      </w:r>
    </w:p>
    <w:p>
      <w:pPr>
        <w:pStyle w:val="Normal"/>
        <w:rPr/>
      </w:pPr>
      <w:r>
        <w:rPr/>
        <w:t>10.2. Užsakovas, prisijungęs prie sistemos </w:t>
      </w:r>
      <w:hyperlink r:id="rId6" w:tgtFrame="_blank">
        <w:r>
          <w:rPr>
            <w:rStyle w:val="InternetLink"/>
            <w:b/>
            <w:bCs/>
          </w:rPr>
          <w:t>www.smartaccountai.lt</w:t>
        </w:r>
      </w:hyperlink>
      <w:r>
        <w:rPr/>
        <w:t> ir atlikęs veiksmą </w:t>
      </w:r>
      <w:r>
        <w:rPr>
          <w:b/>
          <w:bCs/>
        </w:rPr>
        <w:t>„Patvirtinti visus dokumentus“</w:t>
      </w:r>
      <w:r>
        <w:rPr/>
        <w:t> (arba paspausdamas mygtuką „Sutinku“, „Pridedu elektroninį parašą“ ar pažymėdamas atitinkamą langelį), </w:t>
      </w:r>
      <w:r>
        <w:rPr>
          <w:b/>
          <w:bCs/>
        </w:rPr>
        <w:t>vienu metu patvirtina</w:t>
      </w:r>
      <w:r>
        <w:rPr/>
        <w:t>:</w:t>
      </w:r>
    </w:p>
    <w:p>
      <w:pPr>
        <w:pStyle w:val="Normal"/>
        <w:numPr>
          <w:ilvl w:val="0"/>
          <w:numId w:val="20"/>
        </w:numPr>
        <w:rPr/>
      </w:pPr>
      <w:r>
        <w:rPr/>
        <w:t>šią Buhalterinės apskaitos paslaugų teikimo sutartį;</w:t>
      </w:r>
    </w:p>
    <w:p>
      <w:pPr>
        <w:pStyle w:val="Normal"/>
        <w:numPr>
          <w:ilvl w:val="0"/>
          <w:numId w:val="20"/>
        </w:numPr>
        <w:rPr/>
      </w:pPr>
      <w:r>
        <w:rPr/>
        <w:t>Priedą Nr. 1 (Paslaugų kainoraštis);</w:t>
      </w:r>
    </w:p>
    <w:p>
      <w:pPr>
        <w:pStyle w:val="Normal"/>
        <w:numPr>
          <w:ilvl w:val="0"/>
          <w:numId w:val="20"/>
        </w:numPr>
        <w:rPr/>
      </w:pPr>
      <w:r>
        <w:rPr/>
        <w:t>Priedą Nr. 2 (Konfidencialumo apsaugos sąlygos);</w:t>
      </w:r>
    </w:p>
    <w:p>
      <w:pPr>
        <w:pStyle w:val="Normal"/>
        <w:numPr>
          <w:ilvl w:val="0"/>
          <w:numId w:val="20"/>
        </w:numPr>
        <w:rPr/>
      </w:pPr>
      <w:r>
        <w:rPr/>
        <w:t>Priedą Nr. 3 (Asmens duomenų tvarkymo sąlygos);</w:t>
      </w:r>
    </w:p>
    <w:p>
      <w:pPr>
        <w:pStyle w:val="Normal"/>
        <w:numPr>
          <w:ilvl w:val="0"/>
          <w:numId w:val="20"/>
        </w:numPr>
        <w:rPr/>
      </w:pPr>
      <w:r>
        <w:rPr/>
        <w:t>Priedą Nr. 4 (Kontaktinių asmenų sąrašas);</w:t>
      </w:r>
    </w:p>
    <w:p>
      <w:pPr>
        <w:pStyle w:val="Normal"/>
        <w:numPr>
          <w:ilvl w:val="0"/>
          <w:numId w:val="20"/>
        </w:numPr>
        <w:rPr/>
      </w:pPr>
      <w:r>
        <w:rPr/>
        <w:t>Privatumo politiką;</w:t>
      </w:r>
    </w:p>
    <w:p>
      <w:pPr>
        <w:pStyle w:val="Normal"/>
        <w:numPr>
          <w:ilvl w:val="0"/>
          <w:numId w:val="20"/>
        </w:numPr>
        <w:rPr/>
      </w:pPr>
      <w:r>
        <w:rPr/>
        <w:t>visus kitus sistemoje paskelbtus ir Užsakovui prieinamus dokumentus.</w:t>
      </w:r>
    </w:p>
    <w:p>
      <w:pPr>
        <w:pStyle w:val="Normal"/>
        <w:rPr/>
      </w:pPr>
      <w:r>
        <w:rPr/>
        <w:t>10.3. Užsakovo atliktas elektroninis patvirtinimo veiksmas </w:t>
      </w:r>
      <w:r>
        <w:rPr>
          <w:b/>
          <w:bCs/>
        </w:rPr>
        <w:t>prilygsta ranka rašytam parašui</w:t>
      </w:r>
      <w:r>
        <w:rPr/>
        <w:t> ir yra pakankamas įrodyti, kad Užsakovas susipažino su visų dokumentų turiniu, supranta juos ir sutinka laikytis visų jų sąlygų.</w:t>
      </w:r>
    </w:p>
    <w:p>
      <w:pPr>
        <w:pStyle w:val="Normal"/>
        <w:rPr/>
      </w:pPr>
      <w:r>
        <w:rPr/>
        <w:t>10.4. Vykdytojo sistema užfiksuoja tikslią patvirtinimo datą, laiką ir Užsakovo IP adresą. Šie įrašai saugomi ir laikomi tinkamu patvirtinimu, kad Užsakovas atliko nurodytus veiksmus.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943600" cy="9525"/>
                <wp:effectExtent l="0" t="0" r="0" b="0"/>
                <wp:docPr id="1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0" name=""/>
                        <wps:cNvSpPr/>
                      </wps:nvSpPr>
                      <wps:spPr>
                        <a:xfrm>
                          <a:off x="0" y="0"/>
                          <a:ext cx="5943600" cy="936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0.8pt;width:467.95pt;height:0.7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11. BAIGIAMOSIOS NUOSTATOS</w:t>
      </w:r>
    </w:p>
    <w:p>
      <w:pPr>
        <w:pStyle w:val="Normal"/>
        <w:rPr/>
      </w:pPr>
      <w:r>
        <w:rPr/>
        <w:t>11.1. Ši Sutartis sudaryta lietuvių kalba ir egzistuoja </w:t>
      </w:r>
      <w:r>
        <w:rPr>
          <w:b/>
          <w:bCs/>
        </w:rPr>
        <w:t>elektronine forma</w:t>
      </w:r>
      <w:r>
        <w:rPr/>
        <w:t> Vykdytojo sistemoje.</w:t>
      </w:r>
    </w:p>
    <w:p>
      <w:pPr>
        <w:pStyle w:val="Normal"/>
        <w:rPr/>
      </w:pPr>
      <w:r>
        <w:rPr/>
        <w:t>11.2. Visi Sutarties pakeitimai ir papildymai galioja tik tada, jei jie atlikti raštu ir patvirtinti abiejų Šalių.</w:t>
      </w:r>
    </w:p>
    <w:p>
      <w:pPr>
        <w:pStyle w:val="Normal"/>
        <w:rPr/>
      </w:pPr>
      <w:r>
        <w:rPr/>
        <w:t>11.3. Jei kuri nors šios Sutarties nuostata tampa negaliojančia ar neįgyvendinama, likusios nuostatos lieka galioti.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943600" cy="9525"/>
                <wp:effectExtent l="0" t="0" r="0" b="0"/>
                <wp:docPr id="1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1" name=""/>
                        <wps:cNvSpPr/>
                      </wps:nvSpPr>
                      <wps:spPr>
                        <a:xfrm>
                          <a:off x="0" y="0"/>
                          <a:ext cx="5943600" cy="936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0.8pt;width:467.95pt;height:0.7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rPr>
          <w:lang w:val="pl-PL"/>
        </w:rPr>
      </w:pPr>
      <w:r>
        <w:rPr>
          <w:b/>
          <w:bCs/>
          <w:lang w:val="pl-PL"/>
        </w:rPr>
        <w:t>PATVIRTINTA ELEKTRONINIU BŪDU SISTEMOJE </w:t>
      </w:r>
      <w:hyperlink r:id="rId7" w:tgtFrame="_blank">
        <w:r>
          <w:rPr>
            <w:rStyle w:val="InternetLink"/>
            <w:b/>
            <w:bCs/>
            <w:lang w:val="pl-PL"/>
          </w:rPr>
          <w:t>www.smartaccountai.lt</w:t>
        </w:r>
      </w:hyperlink>
    </w:p>
    <w:tbl>
      <w:tblPr>
        <w:tblW w:w="11280" w:type="dxa"/>
        <w:jc w:val="left"/>
        <w:tblInd w:w="0" w:type="dxa"/>
        <w:tblLayout w:type="fixed"/>
        <w:tblCellMar>
          <w:top w:w="150" w:type="dxa"/>
          <w:left w:w="0" w:type="dxa"/>
          <w:bottom w:w="150" w:type="dxa"/>
          <w:right w:w="240" w:type="dxa"/>
        </w:tblCellMar>
        <w:tblLook w:firstRow="1" w:noVBand="1" w:lastRow="0" w:firstColumn="1" w:lastColumn="0" w:noHBand="0" w:val="04a0"/>
      </w:tblPr>
      <w:tblGrid>
        <w:gridCol w:w="5260"/>
        <w:gridCol w:w="3588"/>
        <w:gridCol w:w="2432"/>
      </w:tblGrid>
      <w:tr>
        <w:trPr>
          <w:tblHeader w:val="true"/>
        </w:trPr>
        <w:tc>
          <w:tcPr>
            <w:tcW w:w="5260" w:type="dxa"/>
            <w:tcBorders/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Šalis</w:t>
            </w:r>
          </w:p>
        </w:tc>
        <w:tc>
          <w:tcPr>
            <w:tcW w:w="3588" w:type="dxa"/>
            <w:tcBorders/>
            <w:tcMar>
              <w:left w:w="240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Patvirtinimo data</w:t>
            </w:r>
          </w:p>
        </w:tc>
        <w:tc>
          <w:tcPr>
            <w:tcW w:w="2432" w:type="dxa"/>
            <w:tcBorders/>
            <w:tcMar>
              <w:left w:w="240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IP adresas</w:t>
            </w:r>
          </w:p>
        </w:tc>
      </w:tr>
      <w:tr>
        <w:trPr/>
        <w:tc>
          <w:tcPr>
            <w:tcW w:w="5260" w:type="dxa"/>
            <w:tcBorders/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>
                <w:b/>
                <w:bCs/>
              </w:rPr>
              <w:t>Užsakovas:</w:t>
            </w:r>
            <w:r>
              <w:rPr/>
              <w:t> (Investbaltija)</w:t>
            </w:r>
          </w:p>
        </w:tc>
        <w:tc>
          <w:tcPr>
            <w:tcW w:w="3588" w:type="dxa"/>
            <w:tcBorders/>
            <w:tcMar>
              <w:left w:w="240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(Data ir laikas)</w:t>
            </w:r>
          </w:p>
        </w:tc>
        <w:tc>
          <w:tcPr>
            <w:tcW w:w="2432" w:type="dxa"/>
            <w:tcBorders/>
            <w:tcMar>
              <w:left w:w="240" w:type="dxa"/>
              <w:right w:w="0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(IP adresas)</w:t>
            </w:r>
          </w:p>
        </w:tc>
      </w:tr>
      <w:tr>
        <w:trPr/>
        <w:tc>
          <w:tcPr>
            <w:tcW w:w="5260" w:type="dxa"/>
            <w:tcBorders/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>
                <w:b/>
                <w:bCs/>
              </w:rPr>
              <w:t>Vykdytojas:</w:t>
            </w:r>
            <w:r>
              <w:rPr/>
              <w:t> MB "Tavo pelnas"</w:t>
            </w:r>
          </w:p>
        </w:tc>
        <w:tc>
          <w:tcPr>
            <w:tcW w:w="3588" w:type="dxa"/>
            <w:tcBorders/>
            <w:tcMar>
              <w:left w:w="240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(Data ir laikas)</w:t>
            </w:r>
          </w:p>
        </w:tc>
        <w:tc>
          <w:tcPr>
            <w:tcW w:w="2432" w:type="dxa"/>
            <w:tcBorders/>
            <w:tcMar>
              <w:left w:w="240" w:type="dxa"/>
              <w:right w:w="0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(IP adresas)</w:t>
            </w:r>
          </w:p>
        </w:tc>
      </w:tr>
    </w:tbl>
    <w:p>
      <w:pPr>
        <w:pStyle w:val="Normal"/>
        <w:widowControl/>
        <w:bidi w:val="0"/>
        <w:spacing w:lineRule="auto" w:line="276" w:before="0" w:after="160"/>
        <w:jc w:val="left"/>
        <w:rPr/>
      </w:pPr>
      <w:r>
        <w:rPr/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ba"/>
    <w:family w:val="roman"/>
    <w:pitch w:val="variable"/>
  </w:font>
  <w:font w:name="Calibri">
    <w:charset w:val="ba"/>
    <w:family w:val="roman"/>
    <w:pitch w:val="variable"/>
  </w:font>
  <w:font w:name="Calibri Light">
    <w:charset w:val="ba"/>
    <w:family w:val="roman"/>
    <w:pitch w:val="variable"/>
  </w:font>
  <w:font w:name="Liberation Sans">
    <w:altName w:val="Arial"/>
    <w:charset w:val="ba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8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9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0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8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9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0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76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4"/>
      <w:szCs w:val="24"/>
      <w:lang w:val="en-US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751e"/>
    <w:pPr>
      <w:keepNext w:val="true"/>
      <w:keepLines/>
      <w:spacing w:before="360" w:after="80"/>
      <w:outlineLvl w:val="0"/>
    </w:pPr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751e"/>
    <w:pPr>
      <w:keepNext w:val="true"/>
      <w:keepLines/>
      <w:spacing w:before="160" w:after="80"/>
      <w:outlineLvl w:val="1"/>
    </w:pPr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751e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751e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751e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751e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751e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751e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751e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Heading1Char" w:customStyle="1">
    <w:name w:val="Heading 1 Char"/>
    <w:basedOn w:val="DefaultParagraphFont"/>
    <w:link w:val="Heading1"/>
    <w:uiPriority w:val="9"/>
    <w:qFormat/>
    <w:rsid w:val="0049751e"/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qFormat/>
    <w:rsid w:val="0049751e"/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qFormat/>
    <w:rsid w:val="0049751e"/>
    <w:rPr>
      <w:rFonts w:eastAsia="" w:cs="" w:cstheme="majorBidi" w:eastAsiaTheme="majorEastAsia"/>
      <w:color w:val="2F5496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49751e"/>
    <w:rPr>
      <w:rFonts w:eastAsia="" w:cs="" w:cstheme="majorBidi" w:eastAsiaTheme="majorEastAsia"/>
      <w:i/>
      <w:iCs/>
      <w:color w:val="2F5496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49751e"/>
    <w:rPr>
      <w:rFonts w:eastAsia="" w:cs="" w:cstheme="majorBidi" w:eastAsiaTheme="majorEastAsia"/>
      <w:color w:val="2F5496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49751e"/>
    <w:rPr>
      <w:rFonts w:eastAsia="" w:cs="" w:cstheme="majorBidi" w:eastAsiaTheme="majorEastAsia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49751e"/>
    <w:rPr>
      <w:rFonts w:eastAsia="" w:cs="" w:cstheme="majorBidi" w:eastAsiaTheme="majorEastAsia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49751e"/>
    <w:rPr>
      <w:rFonts w:eastAsia="" w:cs="" w:cstheme="majorBidi" w:eastAsiaTheme="majorEastAsia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49751e"/>
    <w:rPr>
      <w:rFonts w:eastAsia="" w:cs="" w:cstheme="majorBidi" w:eastAsiaTheme="majorEastAsia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qFormat/>
    <w:rsid w:val="0049751e"/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49751e"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character" w:styleId="QuoteChar" w:customStyle="1">
    <w:name w:val="Quote Char"/>
    <w:basedOn w:val="DefaultParagraphFont"/>
    <w:link w:val="Quote"/>
    <w:uiPriority w:val="29"/>
    <w:qFormat/>
    <w:rsid w:val="0049751e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9751e"/>
    <w:rPr>
      <w:i/>
      <w:iCs/>
      <w:color w:val="2F5496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49751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751e"/>
    <w:rPr>
      <w:b/>
      <w:bCs/>
      <w:smallCaps/>
      <w:color w:val="2F5496" w:themeColor="accent1" w:themeShade="bf"/>
      <w:spacing w:val="5"/>
    </w:rPr>
  </w:style>
  <w:style w:type="character" w:styleId="InternetLink">
    <w:name w:val="Hyperlink"/>
    <w:basedOn w:val="DefaultParagraphFont"/>
    <w:uiPriority w:val="99"/>
    <w:unhideWhenUsed/>
    <w:rsid w:val="0049751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49751e"/>
    <w:rPr>
      <w:color w:val="605E5C"/>
      <w:shd w:fill="E1DFDD" w:val="clear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  <w:lang w:val="zxx" w:eastAsia="zxx" w:bidi="zxx"/>
    </w:rPr>
  </w:style>
  <w:style w:type="paragraph" w:styleId="Title">
    <w:name w:val="Title"/>
    <w:basedOn w:val="Normal"/>
    <w:next w:val="Normal"/>
    <w:link w:val="TitleChar"/>
    <w:uiPriority w:val="10"/>
    <w:qFormat/>
    <w:rsid w:val="0049751e"/>
    <w:pPr>
      <w:spacing w:lineRule="auto" w:line="240" w:before="0" w:after="80"/>
      <w:contextualSpacing/>
    </w:pPr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751e"/>
    <w:pPr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751e"/>
    <w:pPr>
      <w:spacing w:before="160" w:after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751e"/>
    <w:pPr>
      <w:spacing w:before="0" w:after="16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IntenseQuoteChar"/>
    <w:uiPriority w:val="30"/>
    <w:qFormat/>
    <w:rsid w:val="0049751e"/>
    <w:pPr>
      <w:pBdr>
        <w:top w:val="single" w:sz="4" w:space="10" w:color="2F5496"/>
        <w:bottom w:val="single" w:sz="4" w:space="10" w:color="2F5496"/>
      </w:pBdr>
      <w:spacing w:before="360" w:after="360"/>
      <w:ind w:left="864" w:right="864" w:hanging="0"/>
      <w:jc w:val="center"/>
    </w:pPr>
    <w:rPr>
      <w:i/>
      <w:iCs/>
      <w:color w:val="2F5496" w:themeColor="accent1" w:themeShade="bf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smartaccountai.lt/" TargetMode="External"/><Relationship Id="rId3" Type="http://schemas.openxmlformats.org/officeDocument/2006/relationships/hyperlink" Target="https://www.smartaccountai.lt/" TargetMode="External"/><Relationship Id="rId4" Type="http://schemas.openxmlformats.org/officeDocument/2006/relationships/hyperlink" Target="https://www.smartaccountai.lt/" TargetMode="External"/><Relationship Id="rId5" Type="http://schemas.openxmlformats.org/officeDocument/2006/relationships/hyperlink" Target="https://www.smartaccountai.lt/" TargetMode="External"/><Relationship Id="rId6" Type="http://schemas.openxmlformats.org/officeDocument/2006/relationships/hyperlink" Target="https://www.smartaccountai.lt/" TargetMode="External"/><Relationship Id="rId7" Type="http://schemas.openxmlformats.org/officeDocument/2006/relationships/hyperlink" Target="https://www.smartaccountai.lt/" TargetMode="Externa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Application>LibreOffice/7.3.4.2$Windows_X86_64 LibreOffice_project/728fec16bd5f605073805c3c9e7c4212a0120dc5</Application>
  <AppVersion>15.0000</AppVersion>
  <Pages>7</Pages>
  <Words>1294</Words>
  <Characters>8809</Characters>
  <CharactersWithSpaces>9909</CharactersWithSpaces>
  <Paragraphs>153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2026-03-19T13:34:00Z</dcterms:created>
  <dc:creator>Daniel Waitkunas</dc:creator>
  <dc:description/>
  <dc:language>en-US</dc:language>
  <cp:lastModifiedBy>Daniel Waitkunas</cp:lastModifiedBy>
  <dcterms:modified xsi:type="dcterms:W3CDTF">2026-03-19T13:37:00Z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