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
          <w:bCs/>
        </w:rPr>
      </w:pPr>
      <w:r>
        <w:rPr>
          <w:b/>
          <w:bCs/>
        </w:rPr>
        <w:t>KONFIDENCIALUMO APSAUGOS SĄLYGOS</w:t>
      </w:r>
    </w:p>
    <w:p>
      <w:pPr>
        <w:pStyle w:val="Normal"/>
        <w:rPr/>
      </w:pPr>
      <w:r>
        <w:rPr>
          <w:b/>
          <w:bCs/>
        </w:rPr>
        <w:t>1. KONFIDENCIALIOS INFORMACIJOS APIBRĖŽIMAS</w:t>
      </w:r>
    </w:p>
    <w:p>
      <w:pPr>
        <w:pStyle w:val="Normal"/>
        <w:rPr/>
      </w:pPr>
      <w:r>
        <w:rPr/>
        <w:t>1.1. Konfidenciali informacija (toliau – „KI“) reiškia visas komercines, technines, finansines ir kitokias žinias, duomenis ir informaciją, kurie perduodami tarp Šalių arba kurie tampa žinomi vykdant Sutartį, ir kurie:</w:t>
      </w:r>
    </w:p>
    <w:p>
      <w:pPr>
        <w:pStyle w:val="Normal"/>
        <w:numPr>
          <w:ilvl w:val="0"/>
          <w:numId w:val="1"/>
        </w:numPr>
        <w:rPr/>
      </w:pPr>
      <w:r>
        <w:rPr/>
        <w:t>(a) pažymėti kaip „Konfidencialu“, „Slapta“ ar panašiai; arba</w:t>
      </w:r>
    </w:p>
    <w:p>
      <w:pPr>
        <w:pStyle w:val="Normal"/>
        <w:numPr>
          <w:ilvl w:val="0"/>
          <w:numId w:val="1"/>
        </w:numPr>
        <w:rPr/>
      </w:pPr>
      <w:r>
        <w:rPr/>
        <w:t>(b) pagal savo pobūdį ar aplinkybes turėtų būti laikomi konfidencialiais pagrįstam gavėjo vertinimui.</w:t>
      </w:r>
    </w:p>
    <w:p>
      <w:pPr>
        <w:pStyle w:val="Normal"/>
        <w:rPr/>
      </w:pPr>
      <w:r>
        <w:rPr/>
        <w:t>1.2. KI apima, bet tuo neapsiriboja: sutarties sąlygas, klientų sąrašus, verslo modelius, finansinius rodiklius, vidinius procesus, programinės įrangos kodus, duomenų bazių struktūrą, intelektinę nuosavybę, visus buhalterinės apskaitos dokumentus ir mokėjimo duomenis.</w:t>
      </w:r>
    </w:p>
    <w:p>
      <w:pPr>
        <w:pStyle w:val="Normal"/>
        <w:rPr/>
      </w:pPr>
      <w:r>
        <w:rPr/>
        <w:t>1.3. KI neapima informacijos, kuri:</w:t>
      </w:r>
    </w:p>
    <w:p>
      <w:pPr>
        <w:pStyle w:val="Normal"/>
        <w:numPr>
          <w:ilvl w:val="0"/>
          <w:numId w:val="2"/>
        </w:numPr>
        <w:rPr/>
      </w:pPr>
      <w:r>
        <w:rPr/>
        <w:t>(a) jau buvo žinoma gavėjui neprisidėjus kitai Šaliai;</w:t>
      </w:r>
    </w:p>
    <w:p>
      <w:pPr>
        <w:pStyle w:val="Normal"/>
        <w:numPr>
          <w:ilvl w:val="0"/>
          <w:numId w:val="2"/>
        </w:numPr>
        <w:rPr/>
      </w:pPr>
      <w:r>
        <w:rPr/>
        <w:t>(b) jau prieinama viešai arba tampa viešai prieinama ne dėl gavėjo kaltės;</w:t>
      </w:r>
    </w:p>
    <w:p>
      <w:pPr>
        <w:pStyle w:val="Normal"/>
        <w:numPr>
          <w:ilvl w:val="0"/>
          <w:numId w:val="2"/>
        </w:numPr>
        <w:rPr/>
      </w:pPr>
      <w:r>
        <w:rPr/>
        <w:t>(c) teisėtai gauta iš trečiosios šalies be konfidencialumo apribojimų;</w:t>
      </w:r>
    </w:p>
    <w:p>
      <w:pPr>
        <w:pStyle w:val="Normal"/>
        <w:numPr>
          <w:ilvl w:val="0"/>
          <w:numId w:val="2"/>
        </w:numPr>
        <w:rPr/>
      </w:pPr>
      <w:r>
        <w:rPr/>
        <w:t>(d) nepriklausomai sukūrė gavėjas, nepanaudodamas KI.</w:t>
      </w:r>
    </w:p>
    <w:p>
      <w:pPr>
        <w:pStyle w:val="Normal"/>
        <w:rPr/>
      </w:pPr>
      <w:r>
        <w:rPr>
          <w:b/>
          <w:bCs/>
        </w:rPr>
        <w:t>2. KONFIDENCIALUMO ĮSIPAREIGOJIMAI</w:t>
      </w:r>
    </w:p>
    <w:p>
      <w:pPr>
        <w:pStyle w:val="Normal"/>
        <w:rPr/>
      </w:pPr>
      <w:r>
        <w:rPr/>
        <w:t>2.1. Gavusi Šalis (toliau – „Gavėjas“) įsipareigoja:</w:t>
      </w:r>
    </w:p>
    <w:p>
      <w:pPr>
        <w:pStyle w:val="Normal"/>
        <w:numPr>
          <w:ilvl w:val="0"/>
          <w:numId w:val="3"/>
        </w:numPr>
        <w:rPr/>
      </w:pPr>
      <w:r>
        <w:rPr/>
        <w:t>(a) Saugoti visą KI tokiais pat saugumo reikalavimais, kokiais saugo savo paties slaptą informaciją, bet ne mažesniais nei pagrįstas saugumo lygis.</w:t>
      </w:r>
    </w:p>
    <w:p>
      <w:pPr>
        <w:pStyle w:val="Normal"/>
        <w:numPr>
          <w:ilvl w:val="0"/>
          <w:numId w:val="3"/>
        </w:numPr>
        <w:rPr/>
      </w:pPr>
      <w:r>
        <w:rPr/>
        <w:t>(b) Naudoti KI tik Sutarties tikslais ir niekada – savo pačios ar trečiųjų šalių naudai, konkuruojant su atidavusiąja Šalimi (toliau – „Atidavėjas“).</w:t>
      </w:r>
    </w:p>
    <w:p>
      <w:pPr>
        <w:pStyle w:val="Normal"/>
        <w:numPr>
          <w:ilvl w:val="0"/>
          <w:numId w:val="3"/>
        </w:numPr>
        <w:rPr/>
      </w:pPr>
      <w:r>
        <w:rPr/>
        <w:t>(c) Neskelbti, neperduoti, neatskleisti, nepadaryti prieinamu KI jokiai trečiajai šaliai, išskyrus savo darbuotojus ar patarėjus, kuriems tai būtina Sutarties vykdymui ir kurie yra įpareigoti laikytis tokio pat konfidencialumo lygio.</w:t>
      </w:r>
    </w:p>
    <w:p>
      <w:pPr>
        <w:pStyle w:val="Normal"/>
        <w:numPr>
          <w:ilvl w:val="0"/>
          <w:numId w:val="3"/>
        </w:numPr>
        <w:rPr/>
      </w:pPr>
      <w:r>
        <w:rPr/>
        <w:t>(d) Nedaryti jokių kopijų ar įrašų iš KI, išskyrus kiek tai būtina Sutarties vykdymui.</w:t>
      </w:r>
    </w:p>
    <w:p>
      <w:pPr>
        <w:pStyle w:val="Normal"/>
        <w:rPr/>
      </w:pPr>
      <w:r>
        <w:rPr/>
        <w:t>2.2. Gavėjas prisiima visą atsakomybę už savo darbuotojų, patarėjų ar kitų asmenų, kuriems perduota KI, veiksmų pažeidimus.</w:t>
      </w:r>
    </w:p>
    <w:p>
      <w:pPr>
        <w:pStyle w:val="Normal"/>
        <w:rPr/>
      </w:pPr>
      <w:r>
        <w:rPr/>
        <w:t>2.3. </w:t>
      </w:r>
      <w:r>
        <w:rPr>
          <w:b/>
          <w:bCs/>
        </w:rPr>
        <w:t>Duomenų tvarkytojai:</w:t>
      </w:r>
      <w:r>
        <w:rPr/>
        <w:t> Gavėjas turi teisę perduoti KI savo duomenų tvarkytojams (pvz., debesijos paslaugų teikėjams, programinės įrangos tiekėjams, archyvavimo paslaugų teikėjams), jei šie raštu įsipareigoja laikytis ne žemesnių konfidencialumo ir saugumo reikalavimų nei nustatyti šiame Priede. Gavėjas atsako už savo duomenų tvarkytojų veiksmus kaip už savus.</w:t>
      </w:r>
    </w:p>
    <w:p>
      <w:pPr>
        <w:pStyle w:val="Normal"/>
        <w:rPr/>
      </w:pPr>
      <w:r>
        <w:rPr>
          <w:b/>
          <w:bCs/>
        </w:rPr>
        <w:t>3. INTELEKTINĖ NUOSAVYBĖ</w:t>
      </w:r>
    </w:p>
    <w:p>
      <w:pPr>
        <w:pStyle w:val="Normal"/>
        <w:rPr/>
      </w:pPr>
      <w:r>
        <w:rPr/>
        <w:t>3.1. Šios Sutarties sąlygos nesuteikia jokios intelektinės nuosavybės teisių, licencijų ar nuosavybės KI. Visos teisės į KI išlieka Atidavėjo nuosavybėje.</w:t>
      </w:r>
    </w:p>
    <w:p>
      <w:pPr>
        <w:pStyle w:val="Normal"/>
        <w:rPr/>
      </w:pPr>
      <w:r>
        <w:rPr/>
        <w:t>3.2. Gavėjas negali atskleisti, kad tarp Šalių egzistuoja ši Sutartis ar bendradarbiavimas, nei naudoti kito Šalies prekės ženklo, vardo ar firmos vardo be išankstinio raštiško sutikimo.</w:t>
      </w:r>
    </w:p>
    <w:p>
      <w:pPr>
        <w:pStyle w:val="Normal"/>
        <w:rPr/>
      </w:pPr>
      <w:r>
        <w:rPr>
          <w:b/>
          <w:bCs/>
        </w:rPr>
        <w:t>4. SAUGOJIMO TRUKMĖ</w:t>
      </w:r>
    </w:p>
    <w:p>
      <w:pPr>
        <w:pStyle w:val="Normal"/>
        <w:rPr/>
      </w:pPr>
      <w:r>
        <w:rPr/>
        <w:t>4.1. Šios konfidencialumo sąlygos galios </w:t>
      </w:r>
      <w:r>
        <w:rPr>
          <w:b/>
          <w:bCs/>
        </w:rPr>
        <w:t>5 (penkerius) metus</w:t>
      </w:r>
      <w:r>
        <w:rPr/>
        <w:t> nuo Sutarties nutraukimo ar galiojimo pabaigos, išskyrus atvejus, kai:</w:t>
      </w:r>
    </w:p>
    <w:p>
      <w:pPr>
        <w:pStyle w:val="Normal"/>
        <w:numPr>
          <w:ilvl w:val="0"/>
          <w:numId w:val="4"/>
        </w:numPr>
        <w:rPr/>
      </w:pPr>
      <w:r>
        <w:rPr/>
        <w:t>konkreti KI pagal savo pobūdį turi būti saugoma ilgiau (pvz., verslo paslaptis);</w:t>
      </w:r>
    </w:p>
    <w:p>
      <w:pPr>
        <w:pStyle w:val="Normal"/>
        <w:numPr>
          <w:ilvl w:val="0"/>
          <w:numId w:val="4"/>
        </w:numPr>
        <w:rPr/>
      </w:pPr>
      <w:r>
        <w:rPr/>
        <w:t>įstatymai (pvz., LR buhalterinės apskaitos įstatymas) numato ilgesnę privalomą saugojimo trukmę – tokiu atveju taikomi įstatymų nustatyti terminai.</w:t>
      </w:r>
    </w:p>
    <w:p>
      <w:pPr>
        <w:pStyle w:val="Normal"/>
        <w:rPr/>
      </w:pPr>
      <w:r>
        <w:rPr>
          <w:b/>
          <w:bCs/>
        </w:rPr>
        <w:t>5. ELEKTRONINIS PATVIRTINIMAS IR DOKUMENTŲ PRIEINAMUMAS</w:t>
      </w:r>
    </w:p>
    <w:p>
      <w:pPr>
        <w:pStyle w:val="Normal"/>
        <w:rPr/>
      </w:pPr>
      <w:r>
        <w:rPr/>
        <w:t>5.1. Visi su Sutartimi susiję dokumentai, įskaitant šį Priedą, Privatumo politiką, Kainų ir paslaugų aprašymą bei kitus aktualius dokumentus, yra nuolat skelbiami Teikėjo interneto svetainėje </w:t>
      </w:r>
      <w:hyperlink r:id="rId2" w:tgtFrame="_blank">
        <w:r>
          <w:rPr>
            <w:rStyle w:val="InternetLink"/>
            <w:b/>
            <w:bCs/>
          </w:rPr>
          <w:t>www.smartaccountai.lt</w:t>
        </w:r>
      </w:hyperlink>
      <w:r>
        <w:rPr/>
        <w:t> ir yra laisvai prieinami Klientui peržiūrėti prieš registraciją ir bet kuriuo metu po jos.</w:t>
      </w:r>
    </w:p>
    <w:p>
      <w:pPr>
        <w:pStyle w:val="Normal"/>
        <w:rPr/>
      </w:pPr>
      <w:r>
        <w:rPr/>
        <w:t>5.2. Klientas, registruodamasis Teikėjo sistemoje ir atlikdamas veiksmą </w:t>
      </w:r>
      <w:r>
        <w:rPr>
          <w:b/>
          <w:bCs/>
        </w:rPr>
        <w:t>„Patvirtinti visus dokumentus“</w:t>
      </w:r>
      <w:r>
        <w:rPr/>
        <w:t> (arba paspausdamas mygtuką „Sutinku“, „Pridedu elektroninį parašą“ ar pažymėdamas atitinkamą langelį), </w:t>
      </w:r>
      <w:r>
        <w:rPr>
          <w:b/>
          <w:bCs/>
        </w:rPr>
        <w:t>vienu metu patvirtina</w:t>
      </w:r>
      <w:r>
        <w:rPr/>
        <w:t>, kad:</w:t>
      </w:r>
    </w:p>
    <w:p>
      <w:pPr>
        <w:pStyle w:val="Normal"/>
        <w:numPr>
          <w:ilvl w:val="0"/>
          <w:numId w:val="5"/>
        </w:numPr>
        <w:rPr/>
      </w:pPr>
      <w:r>
        <w:rPr/>
        <w:t>susipažino su visais svetainėje skelbiamais dokumentais;</w:t>
      </w:r>
    </w:p>
    <w:p>
      <w:pPr>
        <w:pStyle w:val="Normal"/>
        <w:numPr>
          <w:ilvl w:val="0"/>
          <w:numId w:val="5"/>
        </w:numPr>
        <w:rPr/>
      </w:pPr>
      <w:r>
        <w:rPr/>
        <w:t>supranta juose nustatytas teises ir pareigas;</w:t>
      </w:r>
    </w:p>
    <w:p>
      <w:pPr>
        <w:pStyle w:val="Normal"/>
        <w:numPr>
          <w:ilvl w:val="0"/>
          <w:numId w:val="5"/>
        </w:numPr>
        <w:rPr/>
      </w:pPr>
      <w:r>
        <w:rPr/>
        <w:t>sutinka laikytis visų šių dokumentų sąlygų.</w:t>
      </w:r>
    </w:p>
    <w:p>
      <w:pPr>
        <w:pStyle w:val="Normal"/>
        <w:rPr/>
      </w:pPr>
      <w:r>
        <w:rPr/>
        <w:t>5.3. Kliento atliktas elektroninis patvirtinimo veiksmas </w:t>
      </w:r>
      <w:r>
        <w:rPr>
          <w:b/>
          <w:bCs/>
        </w:rPr>
        <w:t>prilygsta ranka rašytam parašui</w:t>
      </w:r>
      <w:r>
        <w:rPr/>
        <w:t> ir yra pakankamas įrodyti, kad Klientas susipažino su dokumentais bei sutinka su jų sąlygomis. Teikėjo sistema užfiksuoja tikslią patvirtinimo datą, laiką ir Kliento IP adresą.</w:t>
      </w:r>
    </w:p>
    <w:p>
      <w:pPr>
        <w:pStyle w:val="Normal"/>
        <w:rPr/>
      </w:pPr>
      <w:r>
        <w:rPr>
          <w:b/>
          <w:bCs/>
        </w:rPr>
        <w:t>6. ĮSTATYMŲ REIKALAVIMAI</w:t>
      </w:r>
    </w:p>
    <w:p>
      <w:pPr>
        <w:pStyle w:val="Normal"/>
        <w:rPr/>
      </w:pPr>
      <w:r>
        <w:rPr/>
        <w:t>6.1. Šių įsipareigojimų nesilaikymas yra leistinas tik tiek, kiek to reikalauja galiojantys įstatymai, teismo nutartis ar valdžios institucijos nurodymas. Tokiu atveju Gavėjas, kiek įmanoma, iš anksto praneša Atidavėjui ir padeda jam imtis priemonių informacijai apsaugoti.</w:t>
      </w:r>
    </w:p>
    <w:p>
      <w:pPr>
        <w:pStyle w:val="Normal"/>
        <w:rPr/>
      </w:pPr>
      <w:r>
        <w:rPr>
          <w:b/>
          <w:bCs/>
        </w:rPr>
        <w:t>7. PASITIKĖJIMO PAŽEIDIMAS</w:t>
      </w:r>
    </w:p>
    <w:p>
      <w:pPr>
        <w:pStyle w:val="Normal"/>
        <w:rPr/>
      </w:pPr>
      <w:r>
        <w:rPr/>
        <w:t>7.1. Šalys sutaria, kad bet koks šio Priedo pažeidimas gali padaryti nepataisomą žalą Atidavėjui, todėl, be kitų galimų teisinių priemonių, Atidavėjas turės teisę reikalauti teismo nutraukimo arba draudimo nuostatų.</w:t>
      </w:r>
    </w:p>
    <w:p>
      <w:pPr>
        <w:pStyle w:val="Normal"/>
        <w:rPr/>
      </w:pPr>
      <w:r>
        <w:rPr>
          <w:b/>
          <w:bCs/>
        </w:rPr>
        <w:t>8. BAIGIAMOSIOS NUOSTATOS</w:t>
      </w:r>
    </w:p>
    <w:p>
      <w:pPr>
        <w:pStyle w:val="Normal"/>
        <w:rPr/>
      </w:pPr>
      <w:r>
        <w:rPr/>
        <w:t>8.1. Šis Priedas yra neatsiejama Sutarties dalis. Visi terminai ir sąvokos, nepateiktos čia, turi tą pačią reikšmę kaip ir Pagrindinėje Sutartyje.</w:t>
      </w:r>
    </w:p>
    <w:p>
      <w:pPr>
        <w:pStyle w:val="Normal"/>
        <w:rPr/>
      </w:pPr>
      <w:r>
        <w:rPr/>
        <w:t>8.2. Visi ginčai dėl šio Priedo taip pat sprendžiami pagal Pagrindinėje Sutartyje nustatytą tvarką.</w:t>
      </w:r>
    </w:p>
    <w:p>
      <w:pPr>
        <w:pStyle w:val="Normal"/>
        <w:rPr/>
      </w:pPr>
      <w:r>
        <w:rPr/>
        <w:t>8.3. Priedas sudarytas lietuvių kalba dviem vienodai galiojančiais egzemplioriais (arba egzistuoja elektronine forma sistemoje).</w:t>
      </w:r>
    </w:p>
    <w:p>
      <w:pPr>
        <w:pStyle w:val="Normal"/>
        <w:rPr/>
      </w:pPr>
      <w:r>
        <w:rPr/>
        <mc:AlternateContent>
          <mc:Choice Requires="wps">
            <w:drawing>
              <wp:inline distT="0" distB="0" distL="0" distR="0">
                <wp:extent cx="5943600" cy="9525"/>
                <wp:effectExtent l="0" t="0" r="0" b="0"/>
                <wp:docPr id="1" name=""/>
                <a:graphic xmlns:a="http://schemas.openxmlformats.org/drawingml/2006/main">
                  <a:graphicData uri="http://schemas.microsoft.com/office/word/2010/wordprocessingShape">
                    <wps:wsp>
                      <wps:cNvSpPr/>
                      <wps:nvSpPr>
                        <wps:cNvPr id="0" name=""/>
                        <wps:cNvSpPr/>
                      </wps:nvSpPr>
                      <wps:spPr>
                        <a:xfrm>
                          <a:off x="0" y="0"/>
                          <a:ext cx="5943600" cy="9360"/>
                        </a:xfrm>
                        <a:prstGeom prst="rect">
                          <a:avLst/>
                        </a:prstGeom>
                        <a:solidFill>
                          <a:srgbClr val="a0a0a0"/>
                        </a:solidFill>
                        <a:ln w="0">
                          <a:noFill/>
                        </a:ln>
                      </wps:spPr>
                      <wps:bodyPr/>
                    </wps:wsp>
                  </a:graphicData>
                </a:graphic>
                <wp14:sizeRelH relativeFrom="page">
                  <wp14:pctWidth>100000</wp14:pctWidth>
                </wp14:sizeRelH>
              </wp:inline>
            </w:drawing>
          </mc:Choice>
          <mc:Fallback>
            <w:pict>
              <v:rect id="shape_0" fillcolor="#a0a0a0" stroked="f" o:allowincell="f" style="position:absolute;margin-left:0pt;margin-top:-0.8pt;width:467.95pt;height:0.7pt;mso-wrap-style:none;v-text-anchor:middle;mso-position-horizontal:center;mso-position-vertical:top">
                <v:fill o:detectmouseclick="t" type="solid" color2="#5f5f5f"/>
                <v:stroke color="#3465a4" joinstyle="round" endcap="flat"/>
                <w10:wrap type="topAndBottom"/>
              </v:rect>
            </w:pict>
          </mc:Fallback>
        </mc:AlternateContent>
      </w:r>
    </w:p>
    <w:p>
      <w:pPr>
        <w:pStyle w:val="Normal"/>
        <w:rPr/>
      </w:pPr>
      <w:r>
        <w:rPr>
          <w:b/>
          <w:bCs/>
        </w:rPr>
        <w:t>Paslaugų tiekėjas:</w:t>
      </w:r>
    </w:p>
    <w:p>
      <w:pPr>
        <w:pStyle w:val="Normal"/>
        <w:rPr/>
      </w:pPr>
      <w:r>
        <w:rPr/>
        <w:t>MB "Tavo pelnas"</w:t>
        <w:br/>
        <w:t>Įmonės kodas: 307112834</w:t>
        <w:br/>
        <w:t>Adresas: Algirdo g. 9C, Maišiagala, LT-14242 Vilniaus r.</w:t>
      </w:r>
    </w:p>
    <w:p>
      <w:pPr>
        <w:pStyle w:val="Normal"/>
        <w:rPr/>
      </w:pPr>
      <w:r>
        <w:rPr/>
        <mc:AlternateContent>
          <mc:Choice Requires="wps">
            <w:drawing>
              <wp:inline distT="0" distB="0" distL="0" distR="0">
                <wp:extent cx="5943600" cy="9525"/>
                <wp:effectExtent l="0" t="0" r="0" b="0"/>
                <wp:docPr id="2" name=""/>
                <a:graphic xmlns:a="http://schemas.openxmlformats.org/drawingml/2006/main">
                  <a:graphicData uri="http://schemas.microsoft.com/office/word/2010/wordprocessingShape">
                    <wps:wsp>
                      <wps:cNvSpPr/>
                      <wps:nvSpPr>
                        <wps:cNvPr id="1" name=""/>
                        <wps:cNvSpPr/>
                      </wps:nvSpPr>
                      <wps:spPr>
                        <a:xfrm>
                          <a:off x="0" y="0"/>
                          <a:ext cx="5943600" cy="9360"/>
                        </a:xfrm>
                        <a:prstGeom prst="rect">
                          <a:avLst/>
                        </a:prstGeom>
                        <a:solidFill>
                          <a:srgbClr val="a0a0a0"/>
                        </a:solidFill>
                        <a:ln w="0">
                          <a:noFill/>
                        </a:ln>
                      </wps:spPr>
                      <wps:bodyPr/>
                    </wps:wsp>
                  </a:graphicData>
                </a:graphic>
                <wp14:sizeRelH relativeFrom="page">
                  <wp14:pctWidth>100000</wp14:pctWidth>
                </wp14:sizeRelH>
              </wp:inline>
            </w:drawing>
          </mc:Choice>
          <mc:Fallback>
            <w:pict>
              <v:rect id="shape_0" fillcolor="#a0a0a0" stroked="f" o:allowincell="f" style="position:absolute;margin-left:0pt;margin-top:-0.8pt;width:467.95pt;height:0.7pt;mso-wrap-style:none;v-text-anchor:middle;mso-position-horizontal:center;mso-position-vertical:top">
                <v:fill o:detectmouseclick="t" type="solid" color2="#5f5f5f"/>
                <v:stroke color="#3465a4" joinstyle="round" endcap="flat"/>
                <w10:wrap type="topAndBottom"/>
              </v:rect>
            </w:pict>
          </mc:Fallback>
        </mc:AlternateContent>
      </w:r>
    </w:p>
    <w:p>
      <w:pPr>
        <w:pStyle w:val="Normal"/>
        <w:rPr>
          <w:lang w:val="pl-PL"/>
        </w:rPr>
      </w:pPr>
      <w:r>
        <w:rPr>
          <w:b/>
          <w:bCs/>
          <w:lang w:val="pl-PL"/>
        </w:rPr>
        <w:t>Klientas:</w:t>
      </w:r>
    </w:p>
    <w:p>
      <w:pPr>
        <w:pStyle w:val="Normal"/>
        <w:rPr>
          <w:lang w:val="pl-PL"/>
        </w:rPr>
      </w:pPr>
      <w:r>
        <w:rPr>
          <w:b/>
          <w:bCs/>
          <w:lang w:val="pl-PL"/>
        </w:rPr>
        <w:t>Patvirtinta elektroniniu būdu sistemoje </w:t>
      </w:r>
      <w:hyperlink r:id="rId3" w:tgtFrame="_blank">
        <w:r>
          <w:rPr>
            <w:rStyle w:val="InternetLink"/>
            <w:b/>
            <w:bCs/>
            <w:lang w:val="pl-PL"/>
          </w:rPr>
          <w:t>www.smartaccountai.lt</w:t>
        </w:r>
      </w:hyperlink>
    </w:p>
    <w:tbl>
      <w:tblPr>
        <w:tblW w:w="11280" w:type="dxa"/>
        <w:jc w:val="left"/>
        <w:tblInd w:w="0" w:type="dxa"/>
        <w:tblLayout w:type="fixed"/>
        <w:tblCellMar>
          <w:top w:w="150" w:type="dxa"/>
          <w:left w:w="0" w:type="dxa"/>
          <w:bottom w:w="150" w:type="dxa"/>
          <w:right w:w="240" w:type="dxa"/>
        </w:tblCellMar>
        <w:tblLook w:firstRow="1" w:noVBand="1" w:lastRow="0" w:firstColumn="1" w:lastColumn="0" w:noHBand="0" w:val="04a0"/>
      </w:tblPr>
      <w:tblGrid>
        <w:gridCol w:w="4816"/>
        <w:gridCol w:w="3880"/>
        <w:gridCol w:w="2584"/>
      </w:tblGrid>
      <w:tr>
        <w:trPr>
          <w:tblHeader w:val="true"/>
        </w:trPr>
        <w:tc>
          <w:tcPr>
            <w:tcW w:w="4816" w:type="dxa"/>
            <w:tcBorders/>
            <w:vAlign w:val="center"/>
          </w:tcPr>
          <w:p>
            <w:pPr>
              <w:pStyle w:val="Normal"/>
              <w:widowControl w:val="false"/>
              <w:spacing w:before="0" w:after="160"/>
              <w:rPr>
                <w:rFonts w:ascii="Arial" w:hAnsi="Arial" w:cs="Arial"/>
                <w:sz w:val="22"/>
                <w:szCs w:val="22"/>
              </w:rPr>
            </w:pPr>
            <w:r>
              <w:rPr>
                <w:rFonts w:cs="Arial" w:ascii="Arial" w:hAnsi="Arial"/>
                <w:sz w:val="22"/>
                <w:szCs w:val="22"/>
              </w:rPr>
              <w:t>Vardas, pavardė</w:t>
            </w:r>
          </w:p>
        </w:tc>
        <w:tc>
          <w:tcPr>
            <w:tcW w:w="3880" w:type="dxa"/>
            <w:tcBorders/>
            <w:tcMar>
              <w:left w:w="240" w:type="dxa"/>
            </w:tcMar>
            <w:vAlign w:val="center"/>
          </w:tcPr>
          <w:p>
            <w:pPr>
              <w:pStyle w:val="Normal"/>
              <w:widowControl w:val="false"/>
              <w:spacing w:before="0" w:after="160"/>
              <w:rPr>
                <w:rFonts w:ascii="Arial" w:hAnsi="Arial" w:cs="Arial"/>
                <w:sz w:val="22"/>
                <w:szCs w:val="22"/>
              </w:rPr>
            </w:pPr>
            <w:r>
              <w:rPr>
                <w:rFonts w:cs="Arial" w:ascii="Arial" w:hAnsi="Arial"/>
                <w:sz w:val="22"/>
                <w:szCs w:val="22"/>
              </w:rPr>
              <w:t>Elektroninio patvirtinimo data</w:t>
            </w:r>
          </w:p>
        </w:tc>
        <w:tc>
          <w:tcPr>
            <w:tcW w:w="2584" w:type="dxa"/>
            <w:tcBorders/>
            <w:tcMar>
              <w:left w:w="240" w:type="dxa"/>
            </w:tcMar>
            <w:vAlign w:val="center"/>
          </w:tcPr>
          <w:p>
            <w:pPr>
              <w:pStyle w:val="Normal"/>
              <w:widowControl w:val="false"/>
              <w:spacing w:before="0" w:after="160"/>
              <w:rPr/>
            </w:pPr>
            <w:r>
              <w:rPr/>
              <w:t>Kliento IP adresas</w:t>
            </w:r>
          </w:p>
        </w:tc>
      </w:tr>
      <w:tr>
        <w:trPr/>
        <w:tc>
          <w:tcPr>
            <w:tcW w:w="4816" w:type="dxa"/>
            <w:tcBorders/>
            <w:vAlign w:val="center"/>
          </w:tcPr>
          <w:p>
            <w:pPr>
              <w:pStyle w:val="Normal"/>
              <w:widowControl w:val="false"/>
              <w:spacing w:before="0" w:after="160"/>
              <w:rPr>
                <w:rFonts w:ascii="Arial" w:hAnsi="Arial" w:cs="Arial"/>
                <w:sz w:val="22"/>
                <w:szCs w:val="22"/>
              </w:rPr>
            </w:pPr>
            <w:r>
              <w:rPr>
                <w:rFonts w:cs="Arial" w:ascii="Arial" w:hAnsi="Arial"/>
                <w:sz w:val="22"/>
                <w:szCs w:val="22"/>
              </w:rPr>
              <w:t>(Kliento duomenys užfiksuoti sistemoje)</w:t>
            </w:r>
          </w:p>
        </w:tc>
        <w:tc>
          <w:tcPr>
            <w:tcW w:w="3880" w:type="dxa"/>
            <w:tcBorders/>
            <w:tcMar>
              <w:left w:w="240" w:type="dxa"/>
            </w:tcMar>
            <w:vAlign w:val="center"/>
          </w:tcPr>
          <w:p>
            <w:pPr>
              <w:pStyle w:val="Normal"/>
              <w:widowControl w:val="false"/>
              <w:spacing w:before="0" w:after="160"/>
              <w:rPr>
                <w:rFonts w:ascii="Arial" w:hAnsi="Arial" w:cs="Arial"/>
                <w:sz w:val="22"/>
                <w:szCs w:val="22"/>
              </w:rPr>
            </w:pPr>
            <w:r>
              <w:rPr>
                <w:rFonts w:cs="Arial" w:ascii="Arial" w:hAnsi="Arial"/>
                <w:sz w:val="22"/>
                <w:szCs w:val="22"/>
              </w:rPr>
              <w:t>(Data ir laikas)</w:t>
            </w:r>
          </w:p>
        </w:tc>
        <w:tc>
          <w:tcPr>
            <w:tcW w:w="2584" w:type="dxa"/>
            <w:tcBorders/>
            <w:tcMar>
              <w:left w:w="240" w:type="dxa"/>
              <w:right w:w="0" w:type="dxa"/>
            </w:tcMar>
            <w:vAlign w:val="center"/>
          </w:tcPr>
          <w:p>
            <w:pPr>
              <w:pStyle w:val="Normal"/>
              <w:widowControl w:val="false"/>
              <w:spacing w:before="0" w:after="160"/>
              <w:rPr/>
            </w:pPr>
            <w:r>
              <w:rPr/>
              <w:t>(IP adresas)</w:t>
            </w:r>
          </w:p>
        </w:tc>
      </w:tr>
    </w:tbl>
    <w:p>
      <w:pPr>
        <w:pStyle w:val="Normal"/>
        <w:widowControl/>
        <w:bidi w:val="0"/>
        <w:spacing w:lineRule="auto" w:line="276" w:before="0" w:after="160"/>
        <w:jc w:val="left"/>
        <w:rPr/>
      </w:pPr>
      <w:r>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ba"/>
    <w:family w:val="roman"/>
    <w:pitch w:val="variable"/>
  </w:font>
  <w:font w:name="Calibri">
    <w:charset w:val="ba"/>
    <w:family w:val="roman"/>
    <w:pitch w:val="variable"/>
  </w:font>
  <w:font w:name="Calibri Light">
    <w:charset w:val="ba"/>
    <w:family w:val="roman"/>
    <w:pitch w:val="variable"/>
  </w:font>
  <w:font w:name="Liberation Sans">
    <w:altName w:val="Arial"/>
    <w:charset w:val="ba"/>
    <w:family w:val="swiss"/>
    <w:pitch w:val="variable"/>
  </w:font>
  <w:font w:name="Arial">
    <w:charset w:val="ba"/>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6" w:before="0" w:after="160"/>
      <w:jc w:val="left"/>
    </w:pPr>
    <w:rPr>
      <w:rFonts w:ascii="Calibri" w:hAnsi="Calibri" w:eastAsia="Calibri" w:cs="" w:asciiTheme="minorHAnsi" w:cstheme="minorBidi" w:eastAsiaTheme="minorHAnsi" w:hAnsiTheme="minorHAnsi"/>
      <w:color w:val="auto"/>
      <w:kern w:val="2"/>
      <w:sz w:val="24"/>
      <w:szCs w:val="24"/>
      <w:lang w:val="en-US" w:eastAsia="en-US" w:bidi="ar-SA"/>
      <w14:ligatures w14:val="standardContextual"/>
    </w:rPr>
  </w:style>
  <w:style w:type="paragraph" w:styleId="Heading1">
    <w:name w:val="Heading 1"/>
    <w:basedOn w:val="Normal"/>
    <w:next w:val="Normal"/>
    <w:link w:val="Heading1Char"/>
    <w:uiPriority w:val="9"/>
    <w:qFormat/>
    <w:rsid w:val="000a42b5"/>
    <w:pPr>
      <w:keepNext w:val="true"/>
      <w:keepLines/>
      <w:spacing w:before="360" w:after="80"/>
      <w:outlineLvl w:val="0"/>
    </w:pPr>
    <w:rPr>
      <w:rFonts w:ascii="Calibri Light" w:hAnsi="Calibri Light" w:eastAsia="" w:cs="" w:asciiTheme="majorHAnsi" w:cstheme="majorBidi" w:eastAsiaTheme="majorEastAsia" w:hAnsiTheme="majorHAnsi"/>
      <w:color w:val="2F5496" w:themeColor="accent1" w:themeShade="bf"/>
      <w:sz w:val="40"/>
      <w:szCs w:val="40"/>
    </w:rPr>
  </w:style>
  <w:style w:type="paragraph" w:styleId="Heading2">
    <w:name w:val="Heading 2"/>
    <w:basedOn w:val="Normal"/>
    <w:next w:val="Normal"/>
    <w:link w:val="Heading2Char"/>
    <w:uiPriority w:val="9"/>
    <w:semiHidden/>
    <w:unhideWhenUsed/>
    <w:qFormat/>
    <w:rsid w:val="000a42b5"/>
    <w:pPr>
      <w:keepNext w:val="true"/>
      <w:keepLines/>
      <w:spacing w:before="160" w:after="80"/>
      <w:outlineLvl w:val="1"/>
    </w:pPr>
    <w:rPr>
      <w:rFonts w:ascii="Calibri Light" w:hAnsi="Calibri Light" w:eastAsia="" w:cs="" w:asciiTheme="majorHAnsi" w:cstheme="majorBidi" w:eastAsiaTheme="majorEastAsia" w:hAnsiTheme="majorHAnsi"/>
      <w:color w:val="2F5496" w:themeColor="accent1" w:themeShade="bf"/>
      <w:sz w:val="32"/>
      <w:szCs w:val="32"/>
    </w:rPr>
  </w:style>
  <w:style w:type="paragraph" w:styleId="Heading3">
    <w:name w:val="Heading 3"/>
    <w:basedOn w:val="Normal"/>
    <w:next w:val="Normal"/>
    <w:link w:val="Heading3Char"/>
    <w:uiPriority w:val="9"/>
    <w:semiHidden/>
    <w:unhideWhenUsed/>
    <w:qFormat/>
    <w:rsid w:val="000a42b5"/>
    <w:pPr>
      <w:keepNext w:val="true"/>
      <w:keepLines/>
      <w:spacing w:before="160" w:after="80"/>
      <w:outlineLvl w:val="2"/>
    </w:pPr>
    <w:rPr>
      <w:rFonts w:eastAsia="" w:cs="" w:cstheme="majorBidi" w:eastAsiaTheme="majorEastAsia"/>
      <w:color w:val="2F5496" w:themeColor="accent1" w:themeShade="bf"/>
      <w:sz w:val="28"/>
      <w:szCs w:val="28"/>
    </w:rPr>
  </w:style>
  <w:style w:type="paragraph" w:styleId="Heading4">
    <w:name w:val="Heading 4"/>
    <w:basedOn w:val="Normal"/>
    <w:next w:val="Normal"/>
    <w:link w:val="Heading4Char"/>
    <w:uiPriority w:val="9"/>
    <w:semiHidden/>
    <w:unhideWhenUsed/>
    <w:qFormat/>
    <w:rsid w:val="000a42b5"/>
    <w:pPr>
      <w:keepNext w:val="true"/>
      <w:keepLines/>
      <w:spacing w:before="80" w:after="40"/>
      <w:outlineLvl w:val="3"/>
    </w:pPr>
    <w:rPr>
      <w:rFonts w:eastAsia="" w:cs="" w:cstheme="majorBidi" w:eastAsiaTheme="majorEastAsia"/>
      <w:i/>
      <w:iCs/>
      <w:color w:val="2F5496" w:themeColor="accent1" w:themeShade="bf"/>
    </w:rPr>
  </w:style>
  <w:style w:type="paragraph" w:styleId="Heading5">
    <w:name w:val="Heading 5"/>
    <w:basedOn w:val="Normal"/>
    <w:next w:val="Normal"/>
    <w:link w:val="Heading5Char"/>
    <w:uiPriority w:val="9"/>
    <w:semiHidden/>
    <w:unhideWhenUsed/>
    <w:qFormat/>
    <w:rsid w:val="000a42b5"/>
    <w:pPr>
      <w:keepNext w:val="true"/>
      <w:keepLines/>
      <w:spacing w:before="80" w:after="40"/>
      <w:outlineLvl w:val="4"/>
    </w:pPr>
    <w:rPr>
      <w:rFonts w:eastAsia="" w:cs="" w:cstheme="majorBidi" w:eastAsiaTheme="majorEastAsia"/>
      <w:color w:val="2F5496" w:themeColor="accent1" w:themeShade="bf"/>
    </w:rPr>
  </w:style>
  <w:style w:type="paragraph" w:styleId="Heading6">
    <w:name w:val="Heading 6"/>
    <w:basedOn w:val="Normal"/>
    <w:next w:val="Normal"/>
    <w:link w:val="Heading6Char"/>
    <w:uiPriority w:val="9"/>
    <w:semiHidden/>
    <w:unhideWhenUsed/>
    <w:qFormat/>
    <w:rsid w:val="000a42b5"/>
    <w:pPr>
      <w:keepNext w:val="true"/>
      <w:keepLines/>
      <w:spacing w:before="40" w:after="0"/>
      <w:outlineLvl w:val="5"/>
    </w:pPr>
    <w:rPr>
      <w:rFonts w:eastAsia="" w:cs="" w:cstheme="majorBidi"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0a42b5"/>
    <w:pPr>
      <w:keepNext w:val="true"/>
      <w:keepLines/>
      <w:spacing w:before="40" w:after="0"/>
      <w:outlineLvl w:val="6"/>
    </w:pPr>
    <w:rPr>
      <w:rFonts w:eastAsia="" w:cs="" w:cstheme="majorBidi" w:eastAsiaTheme="majorEastAsia"/>
      <w:color w:val="595959" w:themeColor="text1" w:themeTint="a6"/>
    </w:rPr>
  </w:style>
  <w:style w:type="paragraph" w:styleId="Heading8">
    <w:name w:val="Heading 8"/>
    <w:basedOn w:val="Normal"/>
    <w:next w:val="Normal"/>
    <w:link w:val="Heading8Char"/>
    <w:uiPriority w:val="9"/>
    <w:semiHidden/>
    <w:unhideWhenUsed/>
    <w:qFormat/>
    <w:rsid w:val="000a42b5"/>
    <w:pPr>
      <w:keepNext w:val="true"/>
      <w:keepLines/>
      <w:spacing w:before="0" w:after="0"/>
      <w:outlineLvl w:val="7"/>
    </w:pPr>
    <w:rPr>
      <w:rFonts w:eastAsia="" w:cs="" w:cstheme="majorBidi"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0a42b5"/>
    <w:pPr>
      <w:keepNext w:val="true"/>
      <w:keepLines/>
      <w:spacing w:before="0" w:after="0"/>
      <w:outlineLvl w:val="8"/>
    </w:pPr>
    <w:rPr>
      <w:rFonts w:eastAsia="" w:cs="" w:cstheme="majorBidi" w:eastAsiaTheme="majorEastAsia"/>
      <w:color w:val="272727" w:themeColor="text1" w:themeTint="d8"/>
    </w:rPr>
  </w:style>
  <w:style w:type="character" w:styleId="DefaultParagraphFont" w:default="1">
    <w:name w:val="Default Paragraph Font"/>
    <w:uiPriority w:val="1"/>
    <w:unhideWhenUsed/>
    <w:qFormat/>
    <w:rPr/>
  </w:style>
  <w:style w:type="character" w:styleId="Heading1Char" w:customStyle="1">
    <w:name w:val="Heading 1 Char"/>
    <w:basedOn w:val="DefaultParagraphFont"/>
    <w:link w:val="Heading1"/>
    <w:uiPriority w:val="9"/>
    <w:qFormat/>
    <w:rsid w:val="000a42b5"/>
    <w:rPr>
      <w:rFonts w:ascii="Calibri Light" w:hAnsi="Calibri Light" w:eastAsia="" w:cs="" w:asciiTheme="majorHAnsi" w:cstheme="majorBidi" w:eastAsiaTheme="majorEastAsia" w:hAnsiTheme="majorHAnsi"/>
      <w:color w:val="2F5496" w:themeColor="accent1" w:themeShade="bf"/>
      <w:sz w:val="40"/>
      <w:szCs w:val="40"/>
    </w:rPr>
  </w:style>
  <w:style w:type="character" w:styleId="Heading2Char" w:customStyle="1">
    <w:name w:val="Heading 2 Char"/>
    <w:basedOn w:val="DefaultParagraphFont"/>
    <w:link w:val="Heading2"/>
    <w:uiPriority w:val="9"/>
    <w:semiHidden/>
    <w:qFormat/>
    <w:rsid w:val="000a42b5"/>
    <w:rPr>
      <w:rFonts w:ascii="Calibri Light" w:hAnsi="Calibri Light" w:eastAsia="" w:cs="" w:asciiTheme="majorHAnsi" w:cstheme="majorBidi" w:eastAsiaTheme="majorEastAsia" w:hAnsiTheme="majorHAnsi"/>
      <w:color w:val="2F5496" w:themeColor="accent1" w:themeShade="bf"/>
      <w:sz w:val="32"/>
      <w:szCs w:val="32"/>
    </w:rPr>
  </w:style>
  <w:style w:type="character" w:styleId="Heading3Char" w:customStyle="1">
    <w:name w:val="Heading 3 Char"/>
    <w:basedOn w:val="DefaultParagraphFont"/>
    <w:link w:val="Heading3"/>
    <w:uiPriority w:val="9"/>
    <w:semiHidden/>
    <w:qFormat/>
    <w:rsid w:val="000a42b5"/>
    <w:rPr>
      <w:rFonts w:eastAsia="" w:cs="" w:cstheme="majorBidi" w:eastAsiaTheme="majorEastAsia"/>
      <w:color w:val="2F5496" w:themeColor="accent1" w:themeShade="bf"/>
      <w:sz w:val="28"/>
      <w:szCs w:val="28"/>
    </w:rPr>
  </w:style>
  <w:style w:type="character" w:styleId="Heading4Char" w:customStyle="1">
    <w:name w:val="Heading 4 Char"/>
    <w:basedOn w:val="DefaultParagraphFont"/>
    <w:link w:val="Heading4"/>
    <w:uiPriority w:val="9"/>
    <w:semiHidden/>
    <w:qFormat/>
    <w:rsid w:val="000a42b5"/>
    <w:rPr>
      <w:rFonts w:eastAsia="" w:cs="" w:cstheme="majorBidi" w:eastAsiaTheme="majorEastAsia"/>
      <w:i/>
      <w:iCs/>
      <w:color w:val="2F5496" w:themeColor="accent1" w:themeShade="bf"/>
    </w:rPr>
  </w:style>
  <w:style w:type="character" w:styleId="Heading5Char" w:customStyle="1">
    <w:name w:val="Heading 5 Char"/>
    <w:basedOn w:val="DefaultParagraphFont"/>
    <w:link w:val="Heading5"/>
    <w:uiPriority w:val="9"/>
    <w:semiHidden/>
    <w:qFormat/>
    <w:rsid w:val="000a42b5"/>
    <w:rPr>
      <w:rFonts w:eastAsia="" w:cs="" w:cstheme="majorBidi" w:eastAsiaTheme="majorEastAsia"/>
      <w:color w:val="2F5496" w:themeColor="accent1" w:themeShade="bf"/>
    </w:rPr>
  </w:style>
  <w:style w:type="character" w:styleId="Heading6Char" w:customStyle="1">
    <w:name w:val="Heading 6 Char"/>
    <w:basedOn w:val="DefaultParagraphFont"/>
    <w:link w:val="Heading6"/>
    <w:uiPriority w:val="9"/>
    <w:semiHidden/>
    <w:qFormat/>
    <w:rsid w:val="000a42b5"/>
    <w:rPr>
      <w:rFonts w:eastAsia="" w:cs="" w:cstheme="majorBidi" w:eastAsiaTheme="majorEastAsia"/>
      <w:i/>
      <w:iCs/>
      <w:color w:val="595959" w:themeColor="text1" w:themeTint="a6"/>
    </w:rPr>
  </w:style>
  <w:style w:type="character" w:styleId="Heading7Char" w:customStyle="1">
    <w:name w:val="Heading 7 Char"/>
    <w:basedOn w:val="DefaultParagraphFont"/>
    <w:link w:val="Heading7"/>
    <w:uiPriority w:val="9"/>
    <w:semiHidden/>
    <w:qFormat/>
    <w:rsid w:val="000a42b5"/>
    <w:rPr>
      <w:rFonts w:eastAsia="" w:cs="" w:cstheme="majorBidi" w:eastAsiaTheme="majorEastAsia"/>
      <w:color w:val="595959" w:themeColor="text1" w:themeTint="a6"/>
    </w:rPr>
  </w:style>
  <w:style w:type="character" w:styleId="Heading8Char" w:customStyle="1">
    <w:name w:val="Heading 8 Char"/>
    <w:basedOn w:val="DefaultParagraphFont"/>
    <w:link w:val="Heading8"/>
    <w:uiPriority w:val="9"/>
    <w:semiHidden/>
    <w:qFormat/>
    <w:rsid w:val="000a42b5"/>
    <w:rPr>
      <w:rFonts w:eastAsia="" w:cs="" w:cstheme="majorBidi" w:eastAsiaTheme="majorEastAsia"/>
      <w:i/>
      <w:iCs/>
      <w:color w:val="272727" w:themeColor="text1" w:themeTint="d8"/>
    </w:rPr>
  </w:style>
  <w:style w:type="character" w:styleId="Heading9Char" w:customStyle="1">
    <w:name w:val="Heading 9 Char"/>
    <w:basedOn w:val="DefaultParagraphFont"/>
    <w:link w:val="Heading9"/>
    <w:uiPriority w:val="9"/>
    <w:semiHidden/>
    <w:qFormat/>
    <w:rsid w:val="000a42b5"/>
    <w:rPr>
      <w:rFonts w:eastAsia="" w:cs="" w:cstheme="majorBidi" w:eastAsiaTheme="majorEastAsia"/>
      <w:color w:val="272727" w:themeColor="text1" w:themeTint="d8"/>
    </w:rPr>
  </w:style>
  <w:style w:type="character" w:styleId="TitleChar" w:customStyle="1">
    <w:name w:val="Title Char"/>
    <w:basedOn w:val="DefaultParagraphFont"/>
    <w:link w:val="Title"/>
    <w:uiPriority w:val="10"/>
    <w:qFormat/>
    <w:rsid w:val="000a42b5"/>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0a42b5"/>
    <w:rPr>
      <w:rFonts w:eastAsia="" w:cs="" w:cstheme="majorBidi" w:eastAsiaTheme="majorEastAsia"/>
      <w:color w:val="595959" w:themeColor="text1" w:themeTint="a6"/>
      <w:spacing w:val="15"/>
      <w:sz w:val="28"/>
      <w:szCs w:val="28"/>
    </w:rPr>
  </w:style>
  <w:style w:type="character" w:styleId="QuoteChar" w:customStyle="1">
    <w:name w:val="Quote Char"/>
    <w:basedOn w:val="DefaultParagraphFont"/>
    <w:link w:val="Quote"/>
    <w:uiPriority w:val="29"/>
    <w:qFormat/>
    <w:rsid w:val="000a42b5"/>
    <w:rPr>
      <w:i/>
      <w:iCs/>
      <w:color w:val="404040" w:themeColor="text1" w:themeTint="bf"/>
    </w:rPr>
  </w:style>
  <w:style w:type="character" w:styleId="IntenseEmphasis">
    <w:name w:val="Intense Emphasis"/>
    <w:basedOn w:val="DefaultParagraphFont"/>
    <w:uiPriority w:val="21"/>
    <w:qFormat/>
    <w:rsid w:val="000a42b5"/>
    <w:rPr>
      <w:i/>
      <w:iCs/>
      <w:color w:val="2F5496" w:themeColor="accent1" w:themeShade="bf"/>
    </w:rPr>
  </w:style>
  <w:style w:type="character" w:styleId="IntenseQuoteChar" w:customStyle="1">
    <w:name w:val="Intense Quote Char"/>
    <w:basedOn w:val="DefaultParagraphFont"/>
    <w:link w:val="IntenseQuote"/>
    <w:uiPriority w:val="30"/>
    <w:qFormat/>
    <w:rsid w:val="000a42b5"/>
    <w:rPr>
      <w:i/>
      <w:iCs/>
      <w:color w:val="2F5496" w:themeColor="accent1" w:themeShade="bf"/>
    </w:rPr>
  </w:style>
  <w:style w:type="character" w:styleId="IntenseReference">
    <w:name w:val="Intense Reference"/>
    <w:basedOn w:val="DefaultParagraphFont"/>
    <w:uiPriority w:val="32"/>
    <w:qFormat/>
    <w:rsid w:val="000a42b5"/>
    <w:rPr>
      <w:b/>
      <w:bCs/>
      <w:smallCaps/>
      <w:color w:val="2F5496" w:themeColor="accent1" w:themeShade="bf"/>
      <w:spacing w:val="5"/>
    </w:rPr>
  </w:style>
  <w:style w:type="character" w:styleId="InternetLink">
    <w:name w:val="Hyperlink"/>
    <w:basedOn w:val="DefaultParagraphFont"/>
    <w:uiPriority w:val="99"/>
    <w:unhideWhenUsed/>
    <w:rsid w:val="000a42b5"/>
    <w:rPr>
      <w:color w:val="0563C1" w:themeColor="hyperlink"/>
      <w:u w:val="single"/>
    </w:rPr>
  </w:style>
  <w:style w:type="character" w:styleId="UnresolvedMention">
    <w:name w:val="Unresolved Mention"/>
    <w:basedOn w:val="DefaultParagraphFont"/>
    <w:uiPriority w:val="99"/>
    <w:semiHidden/>
    <w:unhideWhenUsed/>
    <w:qFormat/>
    <w:rsid w:val="000a42b5"/>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Title">
    <w:name w:val="Title"/>
    <w:basedOn w:val="Normal"/>
    <w:next w:val="Normal"/>
    <w:link w:val="TitleChar"/>
    <w:uiPriority w:val="10"/>
    <w:qFormat/>
    <w:rsid w:val="000a42b5"/>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0a42b5"/>
    <w:pPr/>
    <w:rPr>
      <w:rFonts w:eastAsia="" w:cs="" w:cstheme="majorBidi" w:eastAsiaTheme="majorEastAsia"/>
      <w:color w:val="595959" w:themeColor="text1" w:themeTint="a6"/>
      <w:spacing w:val="15"/>
      <w:sz w:val="28"/>
      <w:szCs w:val="28"/>
    </w:rPr>
  </w:style>
  <w:style w:type="paragraph" w:styleId="Quote">
    <w:name w:val="Quote"/>
    <w:basedOn w:val="Normal"/>
    <w:next w:val="Normal"/>
    <w:link w:val="QuoteChar"/>
    <w:uiPriority w:val="29"/>
    <w:qFormat/>
    <w:rsid w:val="000a42b5"/>
    <w:pPr>
      <w:spacing w:before="160" w:after="160"/>
      <w:jc w:val="center"/>
    </w:pPr>
    <w:rPr>
      <w:i/>
      <w:iCs/>
      <w:color w:val="404040" w:themeColor="text1" w:themeTint="bf"/>
    </w:rPr>
  </w:style>
  <w:style w:type="paragraph" w:styleId="ListParagraph">
    <w:name w:val="List Paragraph"/>
    <w:basedOn w:val="Normal"/>
    <w:uiPriority w:val="34"/>
    <w:qFormat/>
    <w:rsid w:val="000a42b5"/>
    <w:pPr>
      <w:spacing w:before="0" w:after="160"/>
      <w:ind w:left="720" w:hanging="0"/>
      <w:contextualSpacing/>
    </w:pPr>
    <w:rPr/>
  </w:style>
  <w:style w:type="paragraph" w:styleId="IntenseQuote">
    <w:name w:val="Intense Quote"/>
    <w:basedOn w:val="Normal"/>
    <w:next w:val="Normal"/>
    <w:link w:val="IntenseQuoteChar"/>
    <w:uiPriority w:val="30"/>
    <w:qFormat/>
    <w:rsid w:val="000a42b5"/>
    <w:pPr>
      <w:pBdr>
        <w:top w:val="single" w:sz="4" w:space="10" w:color="2F5496"/>
        <w:bottom w:val="single" w:sz="4" w:space="10" w:color="2F5496"/>
      </w:pBdr>
      <w:spacing w:before="360" w:after="360"/>
      <w:ind w:left="864" w:right="864" w:hanging="0"/>
      <w:jc w:val="center"/>
    </w:pPr>
    <w:rPr>
      <w:i/>
      <w:iCs/>
      <w:color w:val="2F5496" w:themeColor="accent1" w:themeShade="bf"/>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martaccountai.lt/" TargetMode="External"/><Relationship Id="rId3" Type="http://schemas.openxmlformats.org/officeDocument/2006/relationships/hyperlink" Target="https://www.smartaccountai.lt/"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Application>LibreOffice/7.3.4.2$Windows_X86_64 LibreOffice_project/728fec16bd5f605073805c3c9e7c4212a0120dc5</Application>
  <AppVersion>15.0000</AppVersion>
  <Pages>2</Pages>
  <Words>682</Words>
  <Characters>4584</Characters>
  <CharactersWithSpaces>5205</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2026-03-19T09:43:00Z</dcterms:created>
  <dc:creator>Daniel Waitkunas</dc:creator>
  <dc:description/>
  <dc:language>en-US</dc:language>
  <cp:lastModifiedBy>Daniel Waitkunas</cp:lastModifiedBy>
  <dcterms:modified xsi:type="dcterms:W3CDTF">2026-03-19T09:50:00Z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