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/>
          <w:bCs/>
        </w:rPr>
      </w:pPr>
      <w:r>
        <w:rPr>
          <w:b/>
          <w:bCs/>
        </w:rPr>
        <w:t>SMARTACCOUNTAI KLIENTO SISTEMOS NAUDOJIMOSI TAISYKLĖS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1. BENDROSIOS NUOSTATOS</w:t>
      </w:r>
    </w:p>
    <w:p>
      <w:pPr>
        <w:pStyle w:val="Normal"/>
        <w:rPr/>
      </w:pPr>
      <w:r>
        <w:rPr/>
        <w:t>1.1. Šios </w:t>
      </w:r>
      <w:r>
        <w:rPr>
          <w:b/>
          <w:bCs/>
        </w:rPr>
        <w:t>Kliento sistemos naudojimosi taisyklės</w:t>
      </w:r>
      <w:r>
        <w:rPr/>
        <w:t> (toliau – </w:t>
      </w:r>
      <w:r>
        <w:rPr>
          <w:b/>
          <w:bCs/>
        </w:rPr>
        <w:t>„Taisyklės“</w:t>
      </w:r>
      <w:r>
        <w:rPr/>
        <w:t>) reglamentuoja </w:t>
      </w:r>
      <w:r>
        <w:rPr>
          <w:b/>
          <w:bCs/>
        </w:rPr>
        <w:t>MB "Tavo pelnas"</w:t>
      </w:r>
      <w:r>
        <w:rPr/>
        <w:t> (įmonės kodas 307112834, buveinės adresas Algirdo g. 9C, Maišiagala, LT-14242 Vilniaus r., el. paštas info@smartaccountai.lt) (toliau – </w:t>
      </w:r>
      <w:r>
        <w:rPr>
          <w:b/>
          <w:bCs/>
        </w:rPr>
        <w:t>„Paslaugų teikėjas“</w:t>
      </w:r>
      <w:r>
        <w:rPr/>
        <w:t>) valdomos interneto svetainės </w:t>
      </w:r>
      <w:hyperlink r:id="rId2" w:tgtFrame="_blank">
        <w:r>
          <w:rPr>
            <w:rStyle w:val="InternetLink"/>
            <w:b/>
            <w:bCs/>
          </w:rPr>
          <w:t>www.smartaccountai.lt</w:t>
        </w:r>
      </w:hyperlink>
      <w:r>
        <w:rPr/>
        <w:t> (toliau – </w:t>
      </w:r>
      <w:r>
        <w:rPr>
          <w:b/>
          <w:bCs/>
        </w:rPr>
        <w:t>„Svetainė“</w:t>
      </w:r>
      <w:r>
        <w:rPr/>
        <w:t>) ir joje esančios </w:t>
      </w:r>
      <w:r>
        <w:rPr>
          <w:b/>
          <w:bCs/>
        </w:rPr>
        <w:t>Kliento sistemos</w:t>
      </w:r>
      <w:r>
        <w:rPr/>
        <w:t> (toliau – </w:t>
      </w:r>
      <w:r>
        <w:rPr>
          <w:b/>
          <w:bCs/>
        </w:rPr>
        <w:t>„Sistema“</w:t>
      </w:r>
      <w:r>
        <w:rPr/>
        <w:t>) naudojimosi tvarką.</w:t>
      </w:r>
    </w:p>
    <w:p>
      <w:pPr>
        <w:pStyle w:val="Normal"/>
        <w:rPr/>
      </w:pPr>
      <w:r>
        <w:rPr/>
        <w:t>1.2. Šios Taisyklės yra neatsiejama </w:t>
      </w:r>
      <w:r>
        <w:rPr>
          <w:b/>
          <w:bCs/>
        </w:rPr>
        <w:t>Buhalterinės apskaitos paslaugų teikimo sutarties</w:t>
      </w:r>
      <w:r>
        <w:rPr/>
        <w:t> dalis. Jos patvirtinamos elektroniniu būdu kartu su Sutartimi ir kitais priedais.</w:t>
      </w:r>
    </w:p>
    <w:p>
      <w:pPr>
        <w:pStyle w:val="Normal"/>
        <w:rPr>
          <w:lang w:val="pl-PL"/>
        </w:rPr>
      </w:pPr>
      <w:r>
        <w:rPr>
          <w:lang w:val="pl-PL"/>
        </w:rPr>
        <w:t>1.3. Naudodamasis Sistema, Klientas patvirtina, kad:</w:t>
      </w:r>
    </w:p>
    <w:p>
      <w:pPr>
        <w:pStyle w:val="Normal"/>
        <w:numPr>
          <w:ilvl w:val="0"/>
          <w:numId w:val="1"/>
        </w:numPr>
        <w:rPr>
          <w:lang w:val="pl-PL"/>
        </w:rPr>
      </w:pPr>
      <w:r>
        <w:rPr>
          <w:lang w:val="pl-PL"/>
        </w:rPr>
        <w:t>susipažino su šiomis Taisyklėmis, jas supranta ir sutinka jų laikytis;</w:t>
      </w:r>
    </w:p>
    <w:p>
      <w:pPr>
        <w:pStyle w:val="Normal"/>
        <w:numPr>
          <w:ilvl w:val="0"/>
          <w:numId w:val="1"/>
        </w:numPr>
        <w:rPr>
          <w:lang w:val="pl-PL"/>
        </w:rPr>
      </w:pPr>
      <w:r>
        <w:rPr>
          <w:lang w:val="pl-PL"/>
        </w:rPr>
        <w:t>susipažino su Privatumo politika ir duomenų tvarkymo sąlygomis.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2. SĄVOKOS</w:t>
      </w:r>
    </w:p>
    <w:p>
      <w:pPr>
        <w:pStyle w:val="Normal"/>
        <w:rPr/>
      </w:pPr>
      <w:r>
        <w:rPr/>
        <w:t>2.1. </w:t>
      </w:r>
      <w:r>
        <w:rPr>
          <w:b/>
          <w:bCs/>
        </w:rPr>
        <w:t>Sistema</w:t>
      </w:r>
      <w:r>
        <w:rPr/>
        <w:t> – Paslaugų teikėjo sukurta ir valdoma elektroninė platforma, prieinama adresu </w:t>
      </w:r>
      <w:hyperlink r:id="rId3" w:tgtFrame="_blank">
        <w:r>
          <w:rPr>
            <w:rStyle w:val="InternetLink"/>
            <w:b/>
            <w:bCs/>
          </w:rPr>
          <w:t>www.smartaccountai.lt</w:t>
        </w:r>
      </w:hyperlink>
      <w:r>
        <w:rPr/>
        <w:t>, skirta buhalterinės apskaitos paslaugų teikimui, dokumentų valdymui ir komunikacijai tarp Kliento ir Paslaugų teikėjo.</w:t>
      </w:r>
    </w:p>
    <w:p>
      <w:pPr>
        <w:pStyle w:val="Normal"/>
        <w:rPr/>
      </w:pPr>
      <w:r>
        <w:rPr/>
        <w:t>2.2. </w:t>
      </w:r>
      <w:r>
        <w:rPr>
          <w:b/>
          <w:bCs/>
        </w:rPr>
        <w:t>Klientas</w:t>
      </w:r>
      <w:r>
        <w:rPr/>
        <w:t> – asmuo (juridinis ar fizinis), kuris yra sudaręs Buhalterinės apskaitos paslaugų teikimo sutartį su Paslaugų teikėju ir turi prieigą prie Sistemos.</w:t>
      </w:r>
    </w:p>
    <w:p>
      <w:pPr>
        <w:pStyle w:val="Normal"/>
        <w:rPr/>
      </w:pPr>
      <w:r>
        <w:rPr/>
        <w:t>2.3. </w:t>
      </w:r>
      <w:r>
        <w:rPr>
          <w:b/>
          <w:bCs/>
        </w:rPr>
        <w:t>Vartotojas</w:t>
      </w:r>
      <w:r>
        <w:rPr/>
        <w:t> – Kliento įgaliotas fizinis asmuo (pvz., vadovas, buhalteris, administratorius), kuriam suteikti prisijungimo duomenys ir kuris naudojasi Sistema Kliento vardu.</w:t>
      </w:r>
    </w:p>
    <w:p>
      <w:pPr>
        <w:pStyle w:val="Normal"/>
        <w:rPr/>
      </w:pPr>
      <w:r>
        <w:rPr/>
        <w:t>2.4. </w:t>
      </w:r>
      <w:r>
        <w:rPr>
          <w:b/>
          <w:bCs/>
        </w:rPr>
        <w:t>Paskyra</w:t>
      </w:r>
      <w:r>
        <w:rPr/>
        <w:t> – Kliento ir/ar Vartotojo unikali prieiga prie Sistemos, apsaugota prisijungimo vardu ir slaptažodžiu.</w:t>
      </w:r>
    </w:p>
    <w:p>
      <w:pPr>
        <w:pStyle w:val="Normal"/>
        <w:rPr/>
      </w:pPr>
      <w:r>
        <w:rPr/>
        <w:t>2.5. </w:t>
      </w:r>
      <w:r>
        <w:rPr>
          <w:b/>
          <w:bCs/>
        </w:rPr>
        <w:t>Elektroninis patvirtinimas</w:t>
      </w:r>
      <w:r>
        <w:rPr/>
        <w:t> – veiksmas, kurį atlikdamas (pvz., paspausdamas mygtuką </w:t>
      </w:r>
      <w:r>
        <w:rPr>
          <w:b/>
          <w:bCs/>
        </w:rPr>
        <w:t>„Patvirtinti“</w:t>
      </w:r>
      <w:r>
        <w:rPr/>
        <w:t>, </w:t>
      </w:r>
      <w:r>
        <w:rPr>
          <w:b/>
          <w:bCs/>
        </w:rPr>
        <w:t>„Sutinku“</w:t>
      </w:r>
      <w:r>
        <w:rPr/>
        <w:t>, pažymėdamas atitinkamą langelį) Klientas išreiškia savo valią ir sutikimą.</w:t>
      </w:r>
    </w:p>
    <w:p>
      <w:pPr>
        <w:pStyle w:val="Normal"/>
        <w:rPr/>
      </w:pPr>
      <w:r>
        <w:rPr/>
        <w:t>2.6. </w:t>
      </w:r>
      <w:r>
        <w:rPr>
          <w:b/>
          <w:bCs/>
        </w:rPr>
        <w:t>Moduliai</w:t>
      </w:r>
      <w:r>
        <w:rPr/>
        <w:t> – atskiros Sistemos funkcinės dalys (pvz., sąskaitų faktūrų modulis, dokumentų modulis, skaičiuoklės), kurias Klientas gali įjungti, išjungti arba kurias gali keisti Paslaugų teikėjas.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3. PRIĖJIMAS PRIE SISTEMOS IR REGISTRACIJA</w:t>
      </w:r>
    </w:p>
    <w:p>
      <w:pPr>
        <w:pStyle w:val="Normal"/>
        <w:rPr/>
      </w:pPr>
      <w:r>
        <w:rPr/>
        <w:t>3.1. Prieiga prie Sistemos suteikiama tik tiems Klientams, kurie:</w:t>
      </w:r>
    </w:p>
    <w:p>
      <w:pPr>
        <w:pStyle w:val="Normal"/>
        <w:numPr>
          <w:ilvl w:val="0"/>
          <w:numId w:val="2"/>
        </w:numPr>
        <w:rPr/>
      </w:pPr>
      <w:r>
        <w:rPr/>
        <w:t>yra sudarę Buhalterinės apskaitos paslaugų teikimo sutartį;</w:t>
      </w:r>
    </w:p>
    <w:p>
      <w:pPr>
        <w:pStyle w:val="Normal"/>
        <w:numPr>
          <w:ilvl w:val="0"/>
          <w:numId w:val="2"/>
        </w:numPr>
        <w:rPr/>
      </w:pPr>
      <w:r>
        <w:rPr/>
        <w:t>elektroniniu būdu patvirtino šias Taisykles, Privatumo politiką, Konfidencialumo ir Asmens duomenų tvarkymo sąlygas.</w:t>
      </w:r>
    </w:p>
    <w:p>
      <w:pPr>
        <w:pStyle w:val="Normal"/>
        <w:rPr/>
      </w:pPr>
      <w:r>
        <w:rPr/>
        <w:t>3.2. Registracijos metu Klientas pateikia šiuos duomenis:</w:t>
      </w:r>
    </w:p>
    <w:p>
      <w:pPr>
        <w:pStyle w:val="Normal"/>
        <w:numPr>
          <w:ilvl w:val="0"/>
          <w:numId w:val="3"/>
        </w:numPr>
        <w:rPr/>
      </w:pPr>
      <w:r>
        <w:rPr/>
        <w:t>įmonės pavadinimą;</w:t>
      </w:r>
    </w:p>
    <w:p>
      <w:pPr>
        <w:pStyle w:val="Normal"/>
        <w:numPr>
          <w:ilvl w:val="0"/>
          <w:numId w:val="3"/>
        </w:numPr>
        <w:rPr/>
      </w:pPr>
      <w:r>
        <w:rPr/>
        <w:t>įmonės kodą;</w:t>
      </w:r>
    </w:p>
    <w:p>
      <w:pPr>
        <w:pStyle w:val="Normal"/>
        <w:numPr>
          <w:ilvl w:val="0"/>
          <w:numId w:val="3"/>
        </w:numPr>
        <w:rPr/>
      </w:pPr>
      <w:r>
        <w:rPr/>
        <w:t>kontaktinį el. pašto adresą;</w:t>
      </w:r>
    </w:p>
    <w:p>
      <w:pPr>
        <w:pStyle w:val="Normal"/>
        <w:numPr>
          <w:ilvl w:val="0"/>
          <w:numId w:val="3"/>
        </w:numPr>
        <w:rPr/>
      </w:pPr>
      <w:r>
        <w:rPr/>
        <w:t>telefono numerį;</w:t>
      </w:r>
    </w:p>
    <w:p>
      <w:pPr>
        <w:pStyle w:val="Normal"/>
        <w:numPr>
          <w:ilvl w:val="0"/>
          <w:numId w:val="3"/>
        </w:numPr>
        <w:rPr/>
      </w:pPr>
      <w:r>
        <w:rPr/>
        <w:t>kitus duomenis, būtinus paskyros sukūrimui.</w:t>
      </w:r>
    </w:p>
    <w:p>
      <w:pPr>
        <w:pStyle w:val="Normal"/>
        <w:rPr/>
      </w:pPr>
      <w:r>
        <w:rPr/>
        <w:t>3.3. Po sėkmingos registracijos Klientas (Vartotojas) gauna prisijungimo duomenis nurodytu el. pašto adresu.</w:t>
      </w:r>
    </w:p>
    <w:p>
      <w:pPr>
        <w:pStyle w:val="Normal"/>
        <w:rPr/>
      </w:pPr>
      <w:r>
        <w:rPr/>
        <w:t>3.4. Klientas įsipareigoja:</w:t>
      </w:r>
    </w:p>
    <w:p>
      <w:pPr>
        <w:pStyle w:val="Normal"/>
        <w:numPr>
          <w:ilvl w:val="0"/>
          <w:numId w:val="4"/>
        </w:numPr>
        <w:rPr/>
      </w:pPr>
      <w:r>
        <w:rPr/>
        <w:t>užtikrinti savo prisijungimo duomenų (slaptažodžio) konfidencialumą;</w:t>
      </w:r>
    </w:p>
    <w:p>
      <w:pPr>
        <w:pStyle w:val="Normal"/>
        <w:numPr>
          <w:ilvl w:val="0"/>
          <w:numId w:val="4"/>
        </w:numPr>
        <w:rPr/>
      </w:pPr>
      <w:r>
        <w:rPr/>
        <w:t>neatskleisti prisijungimo duomenų tretiesiems asmenims;</w:t>
      </w:r>
    </w:p>
    <w:p>
      <w:pPr>
        <w:pStyle w:val="Normal"/>
        <w:numPr>
          <w:ilvl w:val="0"/>
          <w:numId w:val="4"/>
        </w:numPr>
        <w:rPr/>
      </w:pPr>
      <w:r>
        <w:rPr/>
        <w:t>nedelsdamas pranešti Paslaugų teikėjui apie įtariamą neteisėtą prieigą prie Paskyros.</w:t>
      </w:r>
    </w:p>
    <w:p>
      <w:pPr>
        <w:pStyle w:val="Normal"/>
        <w:rPr/>
      </w:pPr>
      <w:r>
        <w:rPr/>
        <w:t>3.5. Visi veiksmai, atlikti naudojantis Kliento Paskyra, laikomi atliktais paties Kliento, išskyrus atvejus, kai Klientas įrodo, kad veiksmai atlikti dėl Paslaugų teikėjo kaltės ar techninių klaidų.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 SISTEMOS FUNKCIONALUMAS</w:t>
      </w:r>
    </w:p>
    <w:p>
      <w:pPr>
        <w:pStyle w:val="Normal"/>
        <w:rPr/>
      </w:pPr>
      <w:r>
        <w:rPr/>
        <w:t>Sistema suteikia Klientui šias pagrindines funkcijas: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4.1. Skydelis (Dashboard)</w:t>
      </w:r>
    </w:p>
    <w:p>
      <w:pPr>
        <w:pStyle w:val="Normal"/>
        <w:numPr>
          <w:ilvl w:val="0"/>
          <w:numId w:val="5"/>
        </w:numPr>
        <w:rPr/>
      </w:pPr>
      <w:r>
        <w:rPr/>
        <w:t>Finansinių ataskaitų ir statistikos peržiūra.</w:t>
      </w:r>
    </w:p>
    <w:p>
      <w:pPr>
        <w:pStyle w:val="Normal"/>
        <w:numPr>
          <w:ilvl w:val="0"/>
          <w:numId w:val="5"/>
        </w:numPr>
        <w:rPr/>
      </w:pPr>
      <w:r>
        <w:rPr/>
        <w:t>Pagrindinių rodiklių (pardavimų, pirkimų, klientų skolų, banko likučių) stebėjimas realiu laiku.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4.2. Apskaitos modulis</w:t>
      </w:r>
    </w:p>
    <w:p>
      <w:pPr>
        <w:pStyle w:val="Normal"/>
        <w:numPr>
          <w:ilvl w:val="0"/>
          <w:numId w:val="6"/>
        </w:numPr>
        <w:rPr/>
      </w:pPr>
      <w:r>
        <w:rPr/>
        <w:t>Buhalterinių dokumentų valdymas.</w:t>
      </w:r>
    </w:p>
    <w:p>
      <w:pPr>
        <w:pStyle w:val="Normal"/>
        <w:numPr>
          <w:ilvl w:val="0"/>
          <w:numId w:val="6"/>
        </w:numPr>
        <w:rPr/>
      </w:pPr>
      <w:r>
        <w:rPr/>
        <w:t>Finansinių operacijų registravimas.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4.3. Sąskaitų faktūrų valdymas</w:t>
      </w:r>
    </w:p>
    <w:p>
      <w:pPr>
        <w:pStyle w:val="Normal"/>
        <w:numPr>
          <w:ilvl w:val="0"/>
          <w:numId w:val="7"/>
        </w:numPr>
        <w:rPr/>
      </w:pPr>
      <w:r>
        <w:rPr/>
        <w:t>Naujų sąskaitų faktūrų kūrimas, redagavimas, išrašymas.</w:t>
      </w:r>
    </w:p>
    <w:p>
      <w:pPr>
        <w:pStyle w:val="Normal"/>
        <w:numPr>
          <w:ilvl w:val="0"/>
          <w:numId w:val="7"/>
        </w:numPr>
        <w:rPr/>
      </w:pPr>
      <w:r>
        <w:rPr/>
        <w:t>Sąskaitų juodraščiai.</w:t>
      </w:r>
    </w:p>
    <w:p>
      <w:pPr>
        <w:pStyle w:val="Normal"/>
        <w:numPr>
          <w:ilvl w:val="0"/>
          <w:numId w:val="7"/>
        </w:numPr>
        <w:rPr/>
      </w:pPr>
      <w:r>
        <w:rPr/>
        <w:t>Išrašytų ir apmokėtų sąskaitų stebėsena.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4.4. Pirkėjų ir pardavėjų valdymas</w:t>
      </w:r>
    </w:p>
    <w:p>
      <w:pPr>
        <w:pStyle w:val="Normal"/>
        <w:numPr>
          <w:ilvl w:val="0"/>
          <w:numId w:val="8"/>
        </w:numPr>
        <w:rPr/>
      </w:pPr>
      <w:r>
        <w:rPr/>
        <w:t>Klientų (pirkėjų) ir tiekėjų (pardavėjų) duomenų bazė.</w:t>
      </w:r>
    </w:p>
    <w:p>
      <w:pPr>
        <w:pStyle w:val="Normal"/>
        <w:numPr>
          <w:ilvl w:val="0"/>
          <w:numId w:val="8"/>
        </w:numPr>
        <w:rPr/>
      </w:pPr>
      <w:r>
        <w:rPr/>
        <w:t>Kontaktų ir operacijų istorija.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4.5. Dokumentų valdymas</w:t>
      </w:r>
    </w:p>
    <w:p>
      <w:pPr>
        <w:pStyle w:val="Normal"/>
        <w:numPr>
          <w:ilvl w:val="0"/>
          <w:numId w:val="9"/>
        </w:numPr>
        <w:rPr/>
      </w:pPr>
      <w:r>
        <w:rPr/>
        <w:t>Dokumentų įkėlimas, saugojimas, kategorizavimas.</w:t>
      </w:r>
    </w:p>
    <w:p>
      <w:pPr>
        <w:pStyle w:val="Normal"/>
        <w:numPr>
          <w:ilvl w:val="0"/>
          <w:numId w:val="9"/>
        </w:numPr>
        <w:rPr/>
      </w:pPr>
      <w:r>
        <w:rPr/>
        <w:t>Prieiga prie archyvuotų dokumentų.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4.6. Mokėjimo moduliai</w:t>
      </w:r>
    </w:p>
    <w:p>
      <w:pPr>
        <w:pStyle w:val="Normal"/>
        <w:numPr>
          <w:ilvl w:val="0"/>
          <w:numId w:val="10"/>
        </w:numPr>
        <w:rPr/>
      </w:pPr>
      <w:r>
        <w:rPr/>
        <w:t>Mokėjimų stebėsena.</w:t>
      </w:r>
    </w:p>
    <w:p>
      <w:pPr>
        <w:pStyle w:val="Normal"/>
        <w:numPr>
          <w:ilvl w:val="0"/>
          <w:numId w:val="10"/>
        </w:numPr>
        <w:rPr>
          <w:lang w:val="pl-PL"/>
        </w:rPr>
      </w:pPr>
      <w:r>
        <w:rPr>
          <w:lang w:val="pl-PL"/>
        </w:rPr>
        <w:t>Integracijos su bankais (jei taikoma).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4.7. Skaičiuoklės</w:t>
      </w:r>
    </w:p>
    <w:p>
      <w:pPr>
        <w:pStyle w:val="Normal"/>
        <w:numPr>
          <w:ilvl w:val="0"/>
          <w:numId w:val="11"/>
        </w:numPr>
        <w:rPr/>
      </w:pPr>
      <w:r>
        <w:rPr/>
        <w:t>Pinigų srauto skaičiuoklė.</w:t>
      </w:r>
    </w:p>
    <w:p>
      <w:pPr>
        <w:pStyle w:val="Normal"/>
        <w:numPr>
          <w:ilvl w:val="0"/>
          <w:numId w:val="11"/>
        </w:numPr>
        <w:rPr/>
      </w:pPr>
      <w:r>
        <w:rPr/>
        <w:t>Atlyginimo (darbo užmokesčio) skaičiuoklė.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4.8. Komunikacija su buhalteriu</w:t>
      </w:r>
    </w:p>
    <w:p>
      <w:pPr>
        <w:pStyle w:val="Normal"/>
        <w:numPr>
          <w:ilvl w:val="0"/>
          <w:numId w:val="12"/>
        </w:numPr>
        <w:rPr/>
      </w:pPr>
      <w:r>
        <w:rPr/>
        <w:t>Tiesioginis ryšys su Klientui priskirtu buhalteriu.</w:t>
      </w:r>
    </w:p>
    <w:p>
      <w:pPr>
        <w:pStyle w:val="Normal"/>
        <w:numPr>
          <w:ilvl w:val="0"/>
          <w:numId w:val="12"/>
        </w:numPr>
        <w:rPr/>
      </w:pPr>
      <w:r>
        <w:rPr/>
        <w:t>Užklausų siuntimas ir konsultacijų gavimas.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4.9. Naudingos nuorodos ir moduliai</w:t>
      </w:r>
    </w:p>
    <w:p>
      <w:pPr>
        <w:pStyle w:val="Normal"/>
        <w:numPr>
          <w:ilvl w:val="0"/>
          <w:numId w:val="13"/>
        </w:numPr>
        <w:rPr/>
      </w:pPr>
      <w:r>
        <w:rPr/>
        <w:t>Sandėlio valdymas (jei taikoma).</w:t>
      </w:r>
    </w:p>
    <w:p>
      <w:pPr>
        <w:pStyle w:val="Normal"/>
        <w:numPr>
          <w:ilvl w:val="0"/>
          <w:numId w:val="13"/>
        </w:numPr>
        <w:rPr/>
      </w:pPr>
      <w:r>
        <w:rPr/>
        <w:t>Dokumentų ruošiniai.</w:t>
      </w:r>
    </w:p>
    <w:p>
      <w:pPr>
        <w:pStyle w:val="Normal"/>
        <w:numPr>
          <w:ilvl w:val="0"/>
          <w:numId w:val="13"/>
        </w:numPr>
        <w:rPr/>
      </w:pPr>
      <w:r>
        <w:rPr/>
        <w:t>Kiti papildomi moduliai, kurie gali būti įdiegti Kliento poreikiams.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5. MODULIŲ VALDYMAS IR KEITIMAI</w:t>
      </w:r>
    </w:p>
    <w:p>
      <w:pPr>
        <w:pStyle w:val="Normal"/>
        <w:rPr/>
      </w:pPr>
      <w:r>
        <w:rPr/>
        <w:t>5.1. </w:t>
      </w:r>
      <w:r>
        <w:rPr>
          <w:b/>
          <w:bCs/>
        </w:rPr>
        <w:t>Modulių įjungimas ir išjungimas:</w:t>
      </w:r>
    </w:p>
    <w:p>
      <w:pPr>
        <w:pStyle w:val="Normal"/>
        <w:numPr>
          <w:ilvl w:val="0"/>
          <w:numId w:val="14"/>
        </w:numPr>
        <w:rPr/>
      </w:pPr>
      <w:r>
        <w:rPr/>
        <w:t>Klientas gali turėti skirtingus modulius pagal savo poreikius ir pagal Paslaugų teikėjo nustatytą konfigūraciją.</w:t>
      </w:r>
    </w:p>
    <w:p>
      <w:pPr>
        <w:pStyle w:val="Normal"/>
        <w:numPr>
          <w:ilvl w:val="0"/>
          <w:numId w:val="14"/>
        </w:numPr>
        <w:rPr/>
      </w:pPr>
      <w:r>
        <w:rPr/>
        <w:t>Kai kurie moduliai gali būti įjungiami arba išjungiami Kliento administratoriaus nuožiūra (jei tokia funkcija yra techniškai įgyvendinta).</w:t>
      </w:r>
    </w:p>
    <w:p>
      <w:pPr>
        <w:pStyle w:val="Normal"/>
        <w:numPr>
          <w:ilvl w:val="0"/>
          <w:numId w:val="14"/>
        </w:numPr>
        <w:rPr/>
      </w:pPr>
      <w:r>
        <w:rPr/>
        <w:t>Paslaugų teikėjo administratorius turi teisę bet kada įjungti, išjungti, modifikuoti arba pakeisti bet kurį Sistemos modulį, atsižvelgdamas į:</w:t>
      </w:r>
    </w:p>
    <w:p>
      <w:pPr>
        <w:pStyle w:val="Normal"/>
        <w:numPr>
          <w:ilvl w:val="1"/>
          <w:numId w:val="14"/>
        </w:numPr>
        <w:rPr/>
      </w:pPr>
      <w:r>
        <w:rPr/>
        <w:t>Sistemos tobulinimo poreikius;</w:t>
      </w:r>
    </w:p>
    <w:p>
      <w:pPr>
        <w:pStyle w:val="Normal"/>
        <w:numPr>
          <w:ilvl w:val="1"/>
          <w:numId w:val="14"/>
        </w:numPr>
        <w:rPr/>
      </w:pPr>
      <w:r>
        <w:rPr/>
        <w:t>techninius ar saugumo reikalavimus;</w:t>
      </w:r>
    </w:p>
    <w:p>
      <w:pPr>
        <w:pStyle w:val="Normal"/>
        <w:numPr>
          <w:ilvl w:val="1"/>
          <w:numId w:val="14"/>
        </w:numPr>
        <w:rPr/>
      </w:pPr>
      <w:r>
        <w:rPr/>
        <w:t>Kliento aptarnavimo kokybės gerinimą;</w:t>
      </w:r>
    </w:p>
    <w:p>
      <w:pPr>
        <w:pStyle w:val="Normal"/>
        <w:numPr>
          <w:ilvl w:val="1"/>
          <w:numId w:val="14"/>
        </w:numPr>
        <w:rPr/>
      </w:pPr>
      <w:r>
        <w:rPr/>
        <w:t>teisės aktų pasikeitimus.</w:t>
      </w:r>
    </w:p>
    <w:p>
      <w:pPr>
        <w:pStyle w:val="Normal"/>
        <w:rPr/>
      </w:pPr>
      <w:r>
        <w:rPr/>
        <w:t>5.2. </w:t>
      </w:r>
      <w:r>
        <w:rPr>
          <w:b/>
          <w:bCs/>
        </w:rPr>
        <w:t>Modulių pakeitimai:</w:t>
      </w:r>
    </w:p>
    <w:p>
      <w:pPr>
        <w:pStyle w:val="Normal"/>
        <w:numPr>
          <w:ilvl w:val="0"/>
          <w:numId w:val="15"/>
        </w:numPr>
        <w:rPr/>
      </w:pPr>
      <w:r>
        <w:rPr/>
        <w:t>Paslaugų teikėjas turi teisę keisti Sistemos modulių sudėtį, funkcionalumą, dizainą ar prieinamumą be išankstinio sutikimo, tačiau stengdamasis, kad tokie pakeitimai nepablogintų esminių Paslaugų sąlygų.</w:t>
      </w:r>
    </w:p>
    <w:p>
      <w:pPr>
        <w:pStyle w:val="Normal"/>
        <w:numPr>
          <w:ilvl w:val="0"/>
          <w:numId w:val="15"/>
        </w:numPr>
        <w:rPr/>
      </w:pPr>
      <w:r>
        <w:rPr/>
        <w:t>Apie esminius pakeitimus (pvz., modulio pašalinimą, pakeitimą kitu) Paslaugų teikėjas informuoja Klientą iš anksto, kai įmanoma, per Sistemos pranešimus arba el. paštu.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6. SISTEMOS TOBULINIMAS IR TESTINĖ VERSIJA</w:t>
      </w:r>
    </w:p>
    <w:p>
      <w:pPr>
        <w:pStyle w:val="Normal"/>
        <w:rPr/>
      </w:pPr>
      <w:r>
        <w:rPr/>
        <w:t>6.1. </w:t>
      </w:r>
      <w:r>
        <w:rPr>
          <w:b/>
          <w:bCs/>
        </w:rPr>
        <w:t>Testinė (beta) versija:</w:t>
      </w:r>
    </w:p>
    <w:p>
      <w:pPr>
        <w:pStyle w:val="Normal"/>
        <w:numPr>
          <w:ilvl w:val="0"/>
          <w:numId w:val="16"/>
        </w:numPr>
        <w:rPr/>
      </w:pPr>
      <w:r>
        <w:rPr/>
        <w:t>Klientas yra informuojamas, kad ši Sistemos versija yra </w:t>
      </w:r>
      <w:r>
        <w:rPr>
          <w:b/>
          <w:bCs/>
        </w:rPr>
        <w:t>testinė (beta versija)</w:t>
      </w:r>
      <w:r>
        <w:rPr/>
        <w:t> ir nuolat tobulinama.</w:t>
      </w:r>
    </w:p>
    <w:p>
      <w:pPr>
        <w:pStyle w:val="Normal"/>
        <w:numPr>
          <w:ilvl w:val="0"/>
          <w:numId w:val="16"/>
        </w:numPr>
        <w:rPr/>
      </w:pPr>
      <w:r>
        <w:rPr/>
        <w:t>Siekiant užtikrinti aukščiausią kokybę, Paslaugų teikėjas gali vykdyti </w:t>
      </w:r>
      <w:r>
        <w:rPr>
          <w:b/>
          <w:bCs/>
        </w:rPr>
        <w:t>nuolatinius sistemos atnaujinimus, testavimus ir tobulinimus</w:t>
      </w:r>
      <w:r>
        <w:rPr/>
        <w:t>.</w:t>
      </w:r>
    </w:p>
    <w:p>
      <w:pPr>
        <w:pStyle w:val="Normal"/>
        <w:rPr/>
      </w:pPr>
      <w:r>
        <w:rPr/>
        <w:t>6.2. </w:t>
      </w:r>
      <w:r>
        <w:rPr>
          <w:b/>
          <w:bCs/>
        </w:rPr>
        <w:t>Galimi pakeitimai ir nepatogumai:</w:t>
      </w:r>
    </w:p>
    <w:p>
      <w:pPr>
        <w:pStyle w:val="Normal"/>
        <w:numPr>
          <w:ilvl w:val="0"/>
          <w:numId w:val="17"/>
        </w:numPr>
        <w:rPr/>
      </w:pPr>
      <w:r>
        <w:rPr/>
        <w:t>Dėl Sistemos tobulinimo gali kilti </w:t>
      </w:r>
      <w:r>
        <w:rPr>
          <w:b/>
          <w:bCs/>
        </w:rPr>
        <w:t>laikinų nepatogumų</w:t>
      </w:r>
      <w:r>
        <w:rPr/>
        <w:t>, pvz.:</w:t>
      </w:r>
    </w:p>
    <w:p>
      <w:pPr>
        <w:pStyle w:val="Normal"/>
        <w:numPr>
          <w:ilvl w:val="1"/>
          <w:numId w:val="17"/>
        </w:numPr>
        <w:rPr>
          <w:lang w:val="pl-PL"/>
        </w:rPr>
      </w:pPr>
      <w:r>
        <w:rPr>
          <w:lang w:val="pl-PL"/>
        </w:rPr>
        <w:t>tam tikrų funkcijų laikinas nepasiekiamumas;</w:t>
      </w:r>
    </w:p>
    <w:p>
      <w:pPr>
        <w:pStyle w:val="Normal"/>
        <w:numPr>
          <w:ilvl w:val="1"/>
          <w:numId w:val="17"/>
        </w:numPr>
        <w:rPr/>
      </w:pPr>
      <w:r>
        <w:rPr/>
        <w:t>vartotojo sąsajos pakeitimai;</w:t>
      </w:r>
    </w:p>
    <w:p>
      <w:pPr>
        <w:pStyle w:val="Normal"/>
        <w:numPr>
          <w:ilvl w:val="1"/>
          <w:numId w:val="17"/>
        </w:numPr>
        <w:rPr/>
      </w:pPr>
      <w:r>
        <w:rPr/>
        <w:t>techniniai trikdžiai atnaujinimų metu.</w:t>
      </w:r>
    </w:p>
    <w:p>
      <w:pPr>
        <w:pStyle w:val="Normal"/>
        <w:numPr>
          <w:ilvl w:val="0"/>
          <w:numId w:val="17"/>
        </w:numPr>
        <w:rPr/>
      </w:pPr>
      <w:r>
        <w:rPr/>
        <w:t>Paslaugų teikėjas deda pagrįstas pastangas, kad tokie nepatogumai būtų minimalūs ir kuo greičiau pašalinti.</w:t>
      </w:r>
    </w:p>
    <w:p>
      <w:pPr>
        <w:pStyle w:val="Normal"/>
        <w:rPr/>
      </w:pPr>
      <w:r>
        <w:rPr/>
        <w:t>6.3. </w:t>
      </w:r>
      <w:r>
        <w:rPr>
          <w:b/>
          <w:bCs/>
        </w:rPr>
        <w:t>Atsiliepimai ir pasiūlymai:</w:t>
      </w:r>
    </w:p>
    <w:p>
      <w:pPr>
        <w:pStyle w:val="Normal"/>
        <w:numPr>
          <w:ilvl w:val="0"/>
          <w:numId w:val="18"/>
        </w:numPr>
        <w:rPr/>
      </w:pPr>
      <w:r>
        <w:rPr/>
        <w:t>Klientas kviečiamas teikti pasiūlymus, pastebėjimus ir pageidavimus dėl Sistemos tobulinimo el. paštu </w:t>
      </w:r>
      <w:r>
        <w:rPr>
          <w:b/>
          <w:bCs/>
        </w:rPr>
        <w:t>info@smartaccountai.lt</w:t>
      </w:r>
      <w:r>
        <w:rPr/>
        <w:t>.</w:t>
      </w:r>
    </w:p>
    <w:p>
      <w:pPr>
        <w:pStyle w:val="Normal"/>
        <w:numPr>
          <w:ilvl w:val="0"/>
          <w:numId w:val="18"/>
        </w:numPr>
        <w:rPr/>
      </w:pPr>
      <w:r>
        <w:rPr/>
        <w:t>Paslaugų teikėjas įsipareigoja vertinti Klientų atsiliepimus ir, esant galimybei, juos įgyvendinti tolesnėse Sistemos versijose.</w:t>
      </w:r>
    </w:p>
    <w:p>
      <w:pPr>
        <w:pStyle w:val="Normal"/>
        <w:rPr/>
      </w:pPr>
      <w:r>
        <w:rPr/>
        <w:t>6.4. Paslaugų teikėjas neatsako už laikinus nepatogumus, susijusius su Sistemos tobulinimu, išskyrus atvejus, kai jie atsirado dėl tyčinio Paslaugų teikėjo veikimo ar didelio neatsargumo.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5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7. DOKUMENTŲ IR DUOMENŲ ĮKĖLIMAS</w:t>
      </w:r>
    </w:p>
    <w:p>
      <w:pPr>
        <w:pStyle w:val="Normal"/>
        <w:rPr/>
      </w:pPr>
      <w:r>
        <w:rPr/>
        <w:t>7.1. Klientas įsipareigoja į Sistemą įkelti:</w:t>
      </w:r>
    </w:p>
    <w:p>
      <w:pPr>
        <w:pStyle w:val="Normal"/>
        <w:numPr>
          <w:ilvl w:val="0"/>
          <w:numId w:val="19"/>
        </w:numPr>
        <w:rPr/>
      </w:pPr>
      <w:r>
        <w:rPr/>
        <w:t>visus pirminius apskaitos dokumentus (PVM sąskaitas faktūras, pavedimus, kasos orderius ir kt.);</w:t>
      </w:r>
    </w:p>
    <w:p>
      <w:pPr>
        <w:pStyle w:val="Normal"/>
        <w:numPr>
          <w:ilvl w:val="0"/>
          <w:numId w:val="19"/>
        </w:numPr>
        <w:rPr/>
      </w:pPr>
      <w:r>
        <w:rPr/>
        <w:t>banko išrašus (PDF ir XML formatais);</w:t>
      </w:r>
    </w:p>
    <w:p>
      <w:pPr>
        <w:pStyle w:val="Normal"/>
        <w:numPr>
          <w:ilvl w:val="0"/>
          <w:numId w:val="19"/>
        </w:numPr>
        <w:rPr/>
      </w:pPr>
      <w:r>
        <w:rPr/>
        <w:t>kitus dokumentus, būtinus tinkamam apskaitos tvarkymui.</w:t>
      </w:r>
    </w:p>
    <w:p>
      <w:pPr>
        <w:pStyle w:val="Normal"/>
        <w:rPr/>
      </w:pPr>
      <w:r>
        <w:rPr/>
        <w:t>7.2. Dokumentai turi būti:</w:t>
      </w:r>
    </w:p>
    <w:p>
      <w:pPr>
        <w:pStyle w:val="Normal"/>
        <w:numPr>
          <w:ilvl w:val="0"/>
          <w:numId w:val="20"/>
        </w:numPr>
        <w:rPr/>
      </w:pPr>
      <w:r>
        <w:rPr/>
        <w:t>aiškūs, įskaitomi;</w:t>
      </w:r>
    </w:p>
    <w:p>
      <w:pPr>
        <w:pStyle w:val="Normal"/>
        <w:numPr>
          <w:ilvl w:val="0"/>
          <w:numId w:val="20"/>
        </w:numPr>
        <w:rPr/>
      </w:pPr>
      <w:r>
        <w:rPr/>
        <w:t>teisingi ir atitinkantys tikrovę;</w:t>
      </w:r>
    </w:p>
    <w:p>
      <w:pPr>
        <w:pStyle w:val="Normal"/>
        <w:numPr>
          <w:ilvl w:val="0"/>
          <w:numId w:val="20"/>
        </w:numPr>
        <w:rPr/>
      </w:pPr>
      <w:r>
        <w:rPr/>
        <w:t>įkelti laiku, vadovaujantis Sutarties sąlygomis (paprastai iki kito mėnesio 10 dienos).</w:t>
      </w:r>
    </w:p>
    <w:p>
      <w:pPr>
        <w:pStyle w:val="Normal"/>
        <w:rPr/>
      </w:pPr>
      <w:r>
        <w:rPr/>
        <w:t>7.3. Klientas atsako už įkeliamų dokumentų turinio teisėtumą, tikslumą ir išsamumą.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6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8. ELEKTRONINIS PASIRAŠYMAS IR PATVIRTINIMAS</w:t>
      </w:r>
    </w:p>
    <w:p>
      <w:pPr>
        <w:pStyle w:val="Normal"/>
        <w:rPr/>
      </w:pPr>
      <w:r>
        <w:rPr/>
        <w:t>8.1. </w:t>
      </w:r>
      <w:r>
        <w:rPr>
          <w:b/>
          <w:bCs/>
        </w:rPr>
        <w:t>Vieno mygtuko principas:</w:t>
      </w:r>
    </w:p>
    <w:p>
      <w:pPr>
        <w:pStyle w:val="Normal"/>
        <w:numPr>
          <w:ilvl w:val="0"/>
          <w:numId w:val="21"/>
        </w:numPr>
        <w:rPr/>
      </w:pPr>
      <w:r>
        <w:rPr/>
        <w:t>Klientas, prisijungęs prie Sistemos ir atlikdamas veiksmą </w:t>
      </w:r>
      <w:r>
        <w:rPr>
          <w:b/>
          <w:bCs/>
        </w:rPr>
        <w:t>„Patvirtinti visus dokumentus“</w:t>
      </w:r>
      <w:r>
        <w:rPr/>
        <w:t> (arba paspausdamas mygtuką </w:t>
      </w:r>
      <w:r>
        <w:rPr>
          <w:b/>
          <w:bCs/>
        </w:rPr>
        <w:t>„Sutinku“</w:t>
      </w:r>
      <w:r>
        <w:rPr/>
        <w:t>, </w:t>
      </w:r>
      <w:r>
        <w:rPr>
          <w:b/>
          <w:bCs/>
        </w:rPr>
        <w:t>„Pridedu elektroninį parašą“</w:t>
      </w:r>
      <w:r>
        <w:rPr/>
        <w:t>, pažymėdamas atitinkamą langelį), </w:t>
      </w:r>
      <w:r>
        <w:rPr>
          <w:b/>
          <w:bCs/>
        </w:rPr>
        <w:t>vienu metu patvirtina</w:t>
      </w:r>
      <w:r>
        <w:rPr/>
        <w:t>:</w:t>
      </w:r>
    </w:p>
    <w:p>
      <w:pPr>
        <w:pStyle w:val="Normal"/>
        <w:numPr>
          <w:ilvl w:val="1"/>
          <w:numId w:val="21"/>
        </w:numPr>
        <w:rPr/>
      </w:pPr>
      <w:r>
        <w:rPr/>
        <w:t>Buhalterinės apskaitos paslaugų teikimo sutartį;</w:t>
      </w:r>
    </w:p>
    <w:p>
      <w:pPr>
        <w:pStyle w:val="Normal"/>
        <w:numPr>
          <w:ilvl w:val="1"/>
          <w:numId w:val="21"/>
        </w:numPr>
        <w:rPr/>
      </w:pPr>
      <w:r>
        <w:rPr/>
        <w:t>Paslaugų kainoraštį (Priedą Nr. 1);</w:t>
      </w:r>
    </w:p>
    <w:p>
      <w:pPr>
        <w:pStyle w:val="Normal"/>
        <w:numPr>
          <w:ilvl w:val="1"/>
          <w:numId w:val="21"/>
        </w:numPr>
        <w:rPr/>
      </w:pPr>
      <w:r>
        <w:rPr/>
        <w:t>Konfidencialumo apsaugos sąlygas (Priedą Nr. 2);</w:t>
      </w:r>
    </w:p>
    <w:p>
      <w:pPr>
        <w:pStyle w:val="Normal"/>
        <w:numPr>
          <w:ilvl w:val="1"/>
          <w:numId w:val="21"/>
        </w:numPr>
        <w:rPr/>
      </w:pPr>
      <w:r>
        <w:rPr/>
        <w:t>Asmens duomenų tvarkymo sąlygas (Priedą Nr. 3);</w:t>
      </w:r>
    </w:p>
    <w:p>
      <w:pPr>
        <w:pStyle w:val="Normal"/>
        <w:numPr>
          <w:ilvl w:val="1"/>
          <w:numId w:val="21"/>
        </w:numPr>
        <w:rPr/>
      </w:pPr>
      <w:r>
        <w:rPr/>
        <w:t>Kontaktinių asmenų sąrašą (Priedą Nr. 4);</w:t>
      </w:r>
    </w:p>
    <w:p>
      <w:pPr>
        <w:pStyle w:val="Normal"/>
        <w:numPr>
          <w:ilvl w:val="1"/>
          <w:numId w:val="21"/>
        </w:numPr>
        <w:rPr/>
      </w:pPr>
      <w:r>
        <w:rPr/>
        <w:t>šias Naudojimosi taisykles;</w:t>
      </w:r>
    </w:p>
    <w:p>
      <w:pPr>
        <w:pStyle w:val="Normal"/>
        <w:numPr>
          <w:ilvl w:val="1"/>
          <w:numId w:val="21"/>
        </w:numPr>
        <w:rPr/>
      </w:pPr>
      <w:r>
        <w:rPr/>
        <w:t>Privatumo politiką;</w:t>
      </w:r>
    </w:p>
    <w:p>
      <w:pPr>
        <w:pStyle w:val="Normal"/>
        <w:numPr>
          <w:ilvl w:val="1"/>
          <w:numId w:val="21"/>
        </w:numPr>
        <w:rPr/>
      </w:pPr>
      <w:r>
        <w:rPr/>
        <w:t>visus kitus Sistemoje paskelbtus ir Klientui prieinamus dokumentus.</w:t>
      </w:r>
    </w:p>
    <w:p>
      <w:pPr>
        <w:pStyle w:val="Normal"/>
        <w:rPr/>
      </w:pPr>
      <w:r>
        <w:rPr/>
        <w:t>8.2. Elektroninis patvirtinimas </w:t>
      </w:r>
      <w:r>
        <w:rPr>
          <w:b/>
          <w:bCs/>
        </w:rPr>
        <w:t>prilygsta ranka rašytam parašui</w:t>
      </w:r>
      <w:r>
        <w:rPr/>
        <w:t> ir turi tokią pačią teisinę galią.</w:t>
      </w:r>
    </w:p>
    <w:p>
      <w:pPr>
        <w:pStyle w:val="Normal"/>
        <w:rPr/>
      </w:pPr>
      <w:r>
        <w:rPr/>
        <w:t>8.3. Sistema automatiškai užfiksuoja:</w:t>
      </w:r>
    </w:p>
    <w:p>
      <w:pPr>
        <w:pStyle w:val="Normal"/>
        <w:numPr>
          <w:ilvl w:val="0"/>
          <w:numId w:val="22"/>
        </w:numPr>
        <w:rPr/>
      </w:pPr>
      <w:r>
        <w:rPr/>
        <w:t>tikslią patvirtinimo datą ir laiką;</w:t>
      </w:r>
    </w:p>
    <w:p>
      <w:pPr>
        <w:pStyle w:val="Normal"/>
        <w:numPr>
          <w:ilvl w:val="0"/>
          <w:numId w:val="22"/>
        </w:numPr>
        <w:rPr/>
      </w:pPr>
      <w:r>
        <w:rPr/>
        <w:t>Kliento (Vartotojo) IP adresą;</w:t>
      </w:r>
    </w:p>
    <w:p>
      <w:pPr>
        <w:pStyle w:val="Normal"/>
        <w:numPr>
          <w:ilvl w:val="0"/>
          <w:numId w:val="22"/>
        </w:numPr>
        <w:rPr/>
      </w:pPr>
      <w:r>
        <w:rPr/>
        <w:t>patvirtintų dokumentų sąrašą.</w:t>
      </w:r>
    </w:p>
    <w:p>
      <w:pPr>
        <w:pStyle w:val="Normal"/>
        <w:rPr/>
      </w:pPr>
      <w:r>
        <w:rPr/>
        <w:t>8.4. Šie įrašai saugomi ir laikomi tinkamu įrodymu, kad Klientas susipažino su dokumentais, supranta jų turinį ir sutinka laikytis nustatytų sąlygų.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7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9. VARTOTOJŲ ADMINISTRAVIMAS</w:t>
      </w:r>
    </w:p>
    <w:p>
      <w:pPr>
        <w:pStyle w:val="Normal"/>
        <w:rPr/>
      </w:pPr>
      <w:r>
        <w:rPr/>
        <w:t>9.1. Klientas turi teisę:</w:t>
      </w:r>
    </w:p>
    <w:p>
      <w:pPr>
        <w:pStyle w:val="Normal"/>
        <w:numPr>
          <w:ilvl w:val="0"/>
          <w:numId w:val="23"/>
        </w:numPr>
        <w:rPr/>
      </w:pPr>
      <w:r>
        <w:rPr/>
        <w:t>sukurti papildomus Vartotojus (pvz., darbuotojus, kuriems reikia prieigos prie Sistemos);</w:t>
      </w:r>
    </w:p>
    <w:p>
      <w:pPr>
        <w:pStyle w:val="Normal"/>
        <w:numPr>
          <w:ilvl w:val="0"/>
          <w:numId w:val="23"/>
        </w:numPr>
        <w:rPr/>
      </w:pPr>
      <w:r>
        <w:rPr/>
        <w:t>priskirti Vartotojams atitinkamas teises (pvz., peržiūra, redagavimas, sąskaitų išrašymas);</w:t>
      </w:r>
    </w:p>
    <w:p>
      <w:pPr>
        <w:pStyle w:val="Normal"/>
        <w:numPr>
          <w:ilvl w:val="0"/>
          <w:numId w:val="23"/>
        </w:numPr>
        <w:rPr/>
      </w:pPr>
      <w:r>
        <w:rPr/>
        <w:t>blokuoti ar ištrinti Vartotojus pasikeitus aplinkybėms.</w:t>
      </w:r>
    </w:p>
    <w:p>
      <w:pPr>
        <w:pStyle w:val="Normal"/>
        <w:rPr/>
      </w:pPr>
      <w:r>
        <w:rPr/>
        <w:t>9.2. Klientas prisiima visą atsakomybę už savo Vartotojų veiksmus Sistemoje.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8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10. SISTEMOS TECHNINĖ PRIEŽIŪRA IR PERTRAUKOS</w:t>
      </w:r>
    </w:p>
    <w:p>
      <w:pPr>
        <w:pStyle w:val="Normal"/>
        <w:rPr/>
      </w:pPr>
      <w:r>
        <w:rPr/>
        <w:t>10.1. Paslaugų teikėjas deda pagrįstas pastangas užtikrinti nepertraukiamą Sistemos veikimą, tačiau negarantuoja, kad Sistema veiks be trikdžių ar klaidų.</w:t>
      </w:r>
    </w:p>
    <w:p>
      <w:pPr>
        <w:pStyle w:val="Normal"/>
        <w:rPr/>
      </w:pPr>
      <w:r>
        <w:rPr/>
        <w:t>10.2. Paslaugų teikėjas turi teisę laikinai sustabdyti Sistemos veikimą dėl:</w:t>
      </w:r>
    </w:p>
    <w:p>
      <w:pPr>
        <w:pStyle w:val="Normal"/>
        <w:numPr>
          <w:ilvl w:val="0"/>
          <w:numId w:val="24"/>
        </w:numPr>
        <w:rPr/>
      </w:pPr>
      <w:r>
        <w:rPr/>
        <w:t>planinės techninės priežiūros (apie tai pranešama iš anksto, kai įmanoma);</w:t>
      </w:r>
    </w:p>
    <w:p>
      <w:pPr>
        <w:pStyle w:val="Normal"/>
        <w:numPr>
          <w:ilvl w:val="0"/>
          <w:numId w:val="24"/>
        </w:numPr>
        <w:rPr/>
      </w:pPr>
      <w:r>
        <w:rPr/>
        <w:t>nenumatytų techninių gedimų;</w:t>
      </w:r>
    </w:p>
    <w:p>
      <w:pPr>
        <w:pStyle w:val="Normal"/>
        <w:numPr>
          <w:ilvl w:val="0"/>
          <w:numId w:val="24"/>
        </w:numPr>
        <w:rPr/>
      </w:pPr>
      <w:r>
        <w:rPr/>
        <w:t>saugumo incidentų;</w:t>
      </w:r>
    </w:p>
    <w:p>
      <w:pPr>
        <w:pStyle w:val="Normal"/>
        <w:numPr>
          <w:ilvl w:val="0"/>
          <w:numId w:val="24"/>
        </w:numPr>
        <w:rPr/>
      </w:pPr>
      <w:r>
        <w:rPr/>
        <w:t>Sistemos tobulinimo, testavimo ar atnaujinimo darbų;</w:t>
      </w:r>
    </w:p>
    <w:p>
      <w:pPr>
        <w:pStyle w:val="Normal"/>
        <w:numPr>
          <w:ilvl w:val="0"/>
          <w:numId w:val="24"/>
        </w:numPr>
        <w:rPr/>
      </w:pPr>
      <w:r>
        <w:rPr/>
        <w:t>trečiųjų šalių paslaugų sutrikimų (pvz., interneto tiekėjų, hostingo paslaugų).</w:t>
      </w:r>
    </w:p>
    <w:p>
      <w:pPr>
        <w:pStyle w:val="Normal"/>
        <w:rPr/>
      </w:pPr>
      <w:r>
        <w:rPr/>
        <w:t>10.3. Paslaugų teikėjas neatsako už nuostolius, patirtus dėl Sistemos nepasiekiamumo ar laikinų nepatogumų, susijusių su Sistemos tobulinimu, išskyrus atvejus, kai nuostoliai atsirado dėl tyčinio Paslaugų teikėjo veikimo.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1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9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11. DUOMENŲ SAUGUMAS</w:t>
      </w:r>
    </w:p>
    <w:p>
      <w:pPr>
        <w:pStyle w:val="Normal"/>
        <w:rPr/>
      </w:pPr>
      <w:r>
        <w:rPr/>
        <w:t>11.1. Paslaugų teikėjas įgyvendina tinkamas technines ir organizacines priemones Sistemoje tvarkomų duomenų apsaugai užtikrinti:</w:t>
      </w:r>
    </w:p>
    <w:p>
      <w:pPr>
        <w:pStyle w:val="Normal"/>
        <w:numPr>
          <w:ilvl w:val="0"/>
          <w:numId w:val="25"/>
        </w:numPr>
        <w:rPr/>
      </w:pPr>
      <w:r>
        <w:rPr/>
        <w:t>duomenų šifravimas perdavimo metu (HTTPS, TLS);</w:t>
      </w:r>
    </w:p>
    <w:p>
      <w:pPr>
        <w:pStyle w:val="Normal"/>
        <w:numPr>
          <w:ilvl w:val="0"/>
          <w:numId w:val="25"/>
        </w:numPr>
        <w:rPr/>
      </w:pPr>
      <w:r>
        <w:rPr/>
        <w:t>prieigos kontrolė ir dviejų faktorių autentifikacija (kai taikoma);</w:t>
      </w:r>
    </w:p>
    <w:p>
      <w:pPr>
        <w:pStyle w:val="Normal"/>
        <w:numPr>
          <w:ilvl w:val="0"/>
          <w:numId w:val="25"/>
        </w:numPr>
        <w:rPr/>
      </w:pPr>
      <w:r>
        <w:rPr/>
        <w:t>reguliarus atsarginių kopijų kūrimas;</w:t>
      </w:r>
    </w:p>
    <w:p>
      <w:pPr>
        <w:pStyle w:val="Normal"/>
        <w:numPr>
          <w:ilvl w:val="0"/>
          <w:numId w:val="25"/>
        </w:numPr>
        <w:rPr/>
      </w:pPr>
      <w:r>
        <w:rPr/>
        <w:t>ugniasienės ir apsauga nuo kenkėjiškų programų.</w:t>
      </w:r>
    </w:p>
    <w:p>
      <w:pPr>
        <w:pStyle w:val="Normal"/>
        <w:rPr/>
      </w:pPr>
      <w:r>
        <w:rPr/>
        <w:t>11.2. Visi Sistemoje tvarkomi duomenys yra konfidencialūs ir saugomi pagal BDAR bei kitų taikytinų teisės aktų reikalavimus.</w:t>
      </w:r>
    </w:p>
    <w:p>
      <w:pPr>
        <w:pStyle w:val="Normal"/>
        <w:rPr>
          <w:lang w:val="pl-PL"/>
        </w:rPr>
      </w:pPr>
      <w:r>
        <w:rPr>
          <w:lang w:val="pl-PL"/>
        </w:rPr>
        <w:t>11.3. Išsami informacija apie duomenų tvarkymą pateikiama:</w:t>
      </w:r>
    </w:p>
    <w:p>
      <w:pPr>
        <w:pStyle w:val="Normal"/>
        <w:numPr>
          <w:ilvl w:val="0"/>
          <w:numId w:val="26"/>
        </w:numPr>
        <w:rPr/>
      </w:pPr>
      <w:r>
        <w:rPr/>
        <w:t>Privatumo politikoje;</w:t>
      </w:r>
    </w:p>
    <w:p>
      <w:pPr>
        <w:pStyle w:val="Normal"/>
        <w:numPr>
          <w:ilvl w:val="0"/>
          <w:numId w:val="26"/>
        </w:numPr>
        <w:rPr/>
      </w:pPr>
      <w:r>
        <w:rPr/>
        <w:t>Asmens duomenų tvarkymo sąlygose (Priede Nr. 3).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0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12. INTELEKTINĖ NUOSAVYBĖ</w:t>
      </w:r>
    </w:p>
    <w:p>
      <w:pPr>
        <w:pStyle w:val="Normal"/>
        <w:rPr/>
      </w:pPr>
      <w:r>
        <w:rPr/>
        <w:t>12.1. Visa Sistema, jos dizainas, programinis kodas, algoritmai, metodikos, tekstai, grafika ir kita medžiaga yra Paslaugų teikėjo intelektinė nuosavybė ir yra saugoma pagal Lietuvos Respublikos ir tarptautinę teisę.</w:t>
      </w:r>
    </w:p>
    <w:p>
      <w:pPr>
        <w:pStyle w:val="Normal"/>
        <w:rPr/>
      </w:pPr>
      <w:r>
        <w:rPr/>
        <w:t>12.2. Klientui suteikiama </w:t>
      </w:r>
      <w:r>
        <w:rPr>
          <w:b/>
          <w:bCs/>
        </w:rPr>
        <w:t>neišimtinė, neatlygintinė, ribota teisė</w:t>
      </w:r>
      <w:r>
        <w:rPr/>
        <w:t> naudotis Sistema tik Sutartyje numatytų Paslaugų gavimo tikslais.</w:t>
      </w:r>
    </w:p>
    <w:p>
      <w:pPr>
        <w:pStyle w:val="Normal"/>
        <w:rPr/>
      </w:pPr>
      <w:r>
        <w:rPr/>
        <w:t>12.3. Klientas neturi teisės:</w:t>
      </w:r>
    </w:p>
    <w:p>
      <w:pPr>
        <w:pStyle w:val="Normal"/>
        <w:numPr>
          <w:ilvl w:val="0"/>
          <w:numId w:val="27"/>
        </w:numPr>
        <w:rPr/>
      </w:pPr>
      <w:r>
        <w:rPr/>
        <w:t>kopijuoti, modifikuoti, platinti Sistemos ar bet kurios jos dalies;</w:t>
      </w:r>
    </w:p>
    <w:p>
      <w:pPr>
        <w:pStyle w:val="Normal"/>
        <w:numPr>
          <w:ilvl w:val="0"/>
          <w:numId w:val="27"/>
        </w:numPr>
        <w:rPr/>
      </w:pPr>
      <w:r>
        <w:rPr/>
        <w:t>atlikti reverse engineering veiksmų;</w:t>
      </w:r>
    </w:p>
    <w:p>
      <w:pPr>
        <w:pStyle w:val="Normal"/>
        <w:numPr>
          <w:ilvl w:val="0"/>
          <w:numId w:val="27"/>
        </w:numPr>
        <w:rPr/>
      </w:pPr>
      <w:r>
        <w:rPr/>
        <w:t>bandyti gauti neteisėtą prieigą prie Sistemos ar jos dalių.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1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1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13. ATSAKOMYBĖ</w:t>
      </w:r>
    </w:p>
    <w:p>
      <w:pPr>
        <w:pStyle w:val="Normal"/>
        <w:rPr/>
      </w:pPr>
      <w:r>
        <w:rPr/>
        <w:t>13.1. Paslaugų teikėjas neatsako už:</w:t>
      </w:r>
    </w:p>
    <w:p>
      <w:pPr>
        <w:pStyle w:val="Normal"/>
        <w:numPr>
          <w:ilvl w:val="0"/>
          <w:numId w:val="28"/>
        </w:numPr>
        <w:rPr/>
      </w:pPr>
      <w:r>
        <w:rPr/>
        <w:t>Kliento pateiktų dokumentų turinio teisėtumą ar tikslumą;</w:t>
      </w:r>
    </w:p>
    <w:p>
      <w:pPr>
        <w:pStyle w:val="Normal"/>
        <w:numPr>
          <w:ilvl w:val="0"/>
          <w:numId w:val="28"/>
        </w:numPr>
        <w:rPr/>
      </w:pPr>
      <w:r>
        <w:rPr/>
        <w:t>Kliento veiksmus, prieštaraujančius įstatymams;</w:t>
      </w:r>
    </w:p>
    <w:p>
      <w:pPr>
        <w:pStyle w:val="Normal"/>
        <w:numPr>
          <w:ilvl w:val="0"/>
          <w:numId w:val="28"/>
        </w:numPr>
        <w:rPr/>
      </w:pPr>
      <w:r>
        <w:rPr/>
        <w:t>žalą, atsiradusią dėl Kliento prisijungimo duomenų praradimo ar atskleidimo tretiesiems asmenims;</w:t>
      </w:r>
    </w:p>
    <w:p>
      <w:pPr>
        <w:pStyle w:val="Normal"/>
        <w:numPr>
          <w:ilvl w:val="0"/>
          <w:numId w:val="28"/>
        </w:numPr>
        <w:rPr/>
      </w:pPr>
      <w:r>
        <w:rPr/>
        <w:t>trečiųjų šalių paslaugų (pvz., interneto tiekėjų, bankų) veikimo sutrikimus;</w:t>
      </w:r>
    </w:p>
    <w:p>
      <w:pPr>
        <w:pStyle w:val="Normal"/>
        <w:numPr>
          <w:ilvl w:val="0"/>
          <w:numId w:val="28"/>
        </w:numPr>
        <w:rPr/>
      </w:pPr>
      <w:r>
        <w:rPr/>
        <w:t>laikinus nepatogumus, susijusius su Sistemos tobulinimu, testavimu ar atnaujinimu.</w:t>
      </w:r>
    </w:p>
    <w:p>
      <w:pPr>
        <w:pStyle w:val="Normal"/>
        <w:rPr/>
      </w:pPr>
      <w:r>
        <w:rPr/>
        <w:t>13.2. Paslaugų teikėjo atsakomybė už bet kokius nuostolius, patirtus dėl Sistemos veikimo, ribojama pagal Buhalterinės apskaitos paslaugų teikimo sutarties 5 skyrių.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1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2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14. SISTEMOS NAUDOJIMOSI TAISYKLIŲ KEITIMAS</w:t>
      </w:r>
    </w:p>
    <w:p>
      <w:pPr>
        <w:pStyle w:val="Normal"/>
        <w:rPr/>
      </w:pPr>
      <w:r>
        <w:rPr/>
        <w:t>14.1. Paslaugų teikėjas turi teisę bet kada vienašališkai keisti šias Taisykles, apie tai pranešdamas Svetainėje ne vėliau kaip prieš 14 (keturiolika) kalendorinių dienų iki pakeitimų įsigaliojimo.</w:t>
      </w:r>
    </w:p>
    <w:p>
      <w:pPr>
        <w:pStyle w:val="Normal"/>
        <w:rPr/>
      </w:pPr>
      <w:r>
        <w:rPr/>
        <w:t>14.2. Jei Klientas nesutinka su pakeistomis Taisyklėmis, jis turi teisę nutraukti Sutartį prieš pakeitimų įsigaliojimą.</w:t>
      </w:r>
    </w:p>
    <w:p>
      <w:pPr>
        <w:pStyle w:val="Normal"/>
        <w:rPr/>
      </w:pPr>
      <w:r>
        <w:rPr/>
        <w:t>14.3. Jei Klientas po pakeitimų įsigaliojimo toliau naudojasi Sistema, laikoma, kad jis sutinka su pakeistomis Taisyklėmis.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1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3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15. BAIGIAMOSIOS NUOSTATOS</w:t>
      </w:r>
    </w:p>
    <w:p>
      <w:pPr>
        <w:pStyle w:val="Normal"/>
        <w:rPr/>
      </w:pPr>
      <w:r>
        <w:rPr/>
        <w:t>15.1. Šios Taisyklės yra neatsiejama Buhalterinės apskaitos paslaugų teikimo sutarties dalis.</w:t>
      </w:r>
    </w:p>
    <w:p>
      <w:pPr>
        <w:pStyle w:val="Normal"/>
        <w:rPr/>
      </w:pPr>
      <w:r>
        <w:rPr/>
        <w:t>15.2. Visi ginčai, kylantys dėl šių Taisyklių ar susiję su jomis, sprendžiami vadovaujantis Buhalterinės apskaitos paslaugų teikimo sutarties 8 skyriumi.</w:t>
      </w:r>
    </w:p>
    <w:p>
      <w:pPr>
        <w:pStyle w:val="Normal"/>
        <w:rPr/>
      </w:pPr>
      <w:r>
        <w:rPr/>
        <w:t>15.3. Jei kuri nors šių Taisyklių nuostata tampa negaliojančia ar neįgyvendinama, likusios nuostatos lieka galioti.</w:t>
      </w:r>
    </w:p>
    <w:p>
      <w:pPr>
        <w:pStyle w:val="Normal"/>
        <w:rPr/>
      </w:pPr>
      <w:r>
        <w:rPr/>
        <w:t>15.4. Šios Taisyklės sudarytos lietuvių kalba ir egzistuoja elektronine forma Svetainėje </w:t>
      </w:r>
      <w:hyperlink r:id="rId4" w:tgtFrame="_blank">
        <w:r>
          <w:rPr>
            <w:rStyle w:val="InternetLink"/>
          </w:rPr>
          <w:t>www.smartaccountai.lt</w:t>
        </w:r>
      </w:hyperlink>
      <w:r>
        <w:rPr/>
        <w:t>.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1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4" name=""/>
                        <wps:cNvSpPr/>
                      </wps:nvSpPr>
                      <wps:spPr>
                        <a:xfrm>
                          <a:off x="0" y="0"/>
                          <a:ext cx="594360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467.95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>
          <w:lang w:val="pl-PL"/>
        </w:rPr>
      </w:pPr>
      <w:r>
        <w:rPr>
          <w:b/>
          <w:bCs/>
          <w:lang w:val="pl-PL"/>
        </w:rPr>
        <w:t>PATVIRTINTA ELEKTRONINIU BŪDU SISTEMOJE </w:t>
      </w:r>
      <w:hyperlink r:id="rId5" w:tgtFrame="_blank">
        <w:r>
          <w:rPr>
            <w:rStyle w:val="InternetLink"/>
            <w:b/>
            <w:bCs/>
            <w:lang w:val="pl-PL"/>
          </w:rPr>
          <w:t>www.smartaccountai.lt</w:t>
        </w:r>
      </w:hyperlink>
    </w:p>
    <w:tbl>
      <w:tblPr>
        <w:tblW w:w="11280" w:type="dxa"/>
        <w:jc w:val="left"/>
        <w:tblInd w:w="0" w:type="dxa"/>
        <w:tblLayout w:type="fixed"/>
        <w:tblCellMar>
          <w:top w:w="150" w:type="dxa"/>
          <w:left w:w="0" w:type="dxa"/>
          <w:bottom w:w="150" w:type="dxa"/>
          <w:right w:w="240" w:type="dxa"/>
        </w:tblCellMar>
        <w:tblLook w:firstRow="1" w:noVBand="1" w:lastRow="0" w:firstColumn="1" w:lastColumn="0" w:noHBand="0" w:val="04a0"/>
      </w:tblPr>
      <w:tblGrid>
        <w:gridCol w:w="4430"/>
        <w:gridCol w:w="4083"/>
        <w:gridCol w:w="2767"/>
      </w:tblGrid>
      <w:tr>
        <w:trPr>
          <w:tblHeader w:val="true"/>
        </w:trPr>
        <w:tc>
          <w:tcPr>
            <w:tcW w:w="4430" w:type="dxa"/>
            <w:tcBorders/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Klientas</w:t>
            </w:r>
          </w:p>
        </w:tc>
        <w:tc>
          <w:tcPr>
            <w:tcW w:w="4083" w:type="dxa"/>
            <w:tcBorders/>
            <w:tcMar>
              <w:left w:w="24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Patvirtinimo data</w:t>
            </w:r>
          </w:p>
        </w:tc>
        <w:tc>
          <w:tcPr>
            <w:tcW w:w="2767" w:type="dxa"/>
            <w:tcBorders/>
            <w:tcMar>
              <w:left w:w="24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IP adresas</w:t>
            </w:r>
          </w:p>
        </w:tc>
      </w:tr>
      <w:tr>
        <w:trPr/>
        <w:tc>
          <w:tcPr>
            <w:tcW w:w="4430" w:type="dxa"/>
            <w:tcBorders/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(Kliento pavadinimas)</w:t>
            </w:r>
          </w:p>
        </w:tc>
        <w:tc>
          <w:tcPr>
            <w:tcW w:w="4083" w:type="dxa"/>
            <w:tcBorders/>
            <w:tcMar>
              <w:left w:w="24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(Data ir laikas)</w:t>
            </w:r>
          </w:p>
        </w:tc>
        <w:tc>
          <w:tcPr>
            <w:tcW w:w="2767" w:type="dxa"/>
            <w:tcBorders/>
            <w:tcMar>
              <w:left w:w="24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(IP adresas)</w:t>
            </w:r>
          </w:p>
        </w:tc>
      </w:tr>
    </w:tbl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635" cy="9525"/>
                <wp:effectExtent l="0" t="0" r="0" b="0"/>
                <wp:docPr id="1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5" name=""/>
                        <wps:cNvSpPr/>
                      </wps:nvSpPr>
                      <wps:spPr>
                        <a:xfrm>
                          <a:off x="0" y="0"/>
                          <a:ext cx="720" cy="936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0.8pt;width:0pt;height:0.7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rPr/>
      </w:pPr>
      <w:r>
        <w:rPr>
          <w:b/>
          <w:bCs/>
        </w:rPr>
        <w:t>Jei turite klausimų ar pastebėjimų, kreipkitės:</w:t>
      </w:r>
    </w:p>
    <w:p>
      <w:pPr>
        <w:pStyle w:val="Normal"/>
        <w:rPr/>
      </w:pPr>
      <w:r>
        <w:rPr>
          <w:rFonts w:cs="Segoe UI Emoji" w:ascii="Segoe UI Emoji" w:hAnsi="Segoe UI Emoji"/>
        </w:rPr>
        <w:t>📧</w:t>
      </w:r>
      <w:r>
        <w:rPr/>
        <w:t> </w:t>
      </w:r>
      <w:r>
        <w:rPr>
          <w:b/>
          <w:bCs/>
        </w:rPr>
        <w:t>info@smartaccountai.lt</w:t>
      </w:r>
      <w:r>
        <w:rPr/>
        <w:br/>
      </w:r>
      <w:r>
        <w:rPr>
          <w:rFonts w:cs="Segoe UI Emoji" w:ascii="Segoe UI Emoji" w:hAnsi="Segoe UI Emoji"/>
        </w:rPr>
        <w:t>📞</w:t>
      </w:r>
      <w:r>
        <w:rPr/>
        <w:t> </w:t>
      </w:r>
      <w:r>
        <w:rPr>
          <w:b/>
          <w:bCs/>
        </w:rPr>
        <w:t>+370 655 50158</w:t>
      </w:r>
      <w:r>
        <w:rPr/>
        <w:br/>
      </w:r>
      <w:r>
        <w:rPr>
          <w:rFonts w:cs="Segoe UI Emoji" w:ascii="Segoe UI Emoji" w:hAnsi="Segoe UI Emoji"/>
        </w:rPr>
        <w:t>📍</w:t>
      </w:r>
      <w:r>
        <w:rPr/>
        <w:t> </w:t>
      </w:r>
      <w:r>
        <w:rPr>
          <w:b/>
          <w:bCs/>
        </w:rPr>
        <w:t>Algirdo g. 9C, Maišiagala, LT-14242 Vilniaus r.</w:t>
      </w:r>
    </w:p>
    <w:p>
      <w:pPr>
        <w:pStyle w:val="Normal"/>
        <w:rPr/>
      </w:pPr>
      <w:r>
        <w:rPr/>
        <w:t>© 2026 MB "Tavo pelnas". Visos teisės saugomos.</w:t>
      </w:r>
    </w:p>
    <w:p>
      <w:pPr>
        <w:pStyle w:val="Normal"/>
        <w:spacing w:before="0" w:after="160"/>
        <w:rPr>
          <w:lang w:val="lt-LT"/>
        </w:rPr>
      </w:pPr>
      <w:r>
        <w:rPr>
          <w:lang w:val="lt-LT"/>
        </w:rPr>
        <w:t xml:space="preserve"> 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Calibri">
    <w:charset w:val="ba"/>
    <w:family w:val="roman"/>
    <w:pitch w:val="variable"/>
  </w:font>
  <w:font w:name="Calibri Light">
    <w:charset w:val="ba"/>
    <w:family w:val="roman"/>
    <w:pitch w:val="variable"/>
  </w:font>
  <w:font w:name="Liberation Sans">
    <w:altName w:val="Arial"/>
    <w:charset w:val="ba"/>
    <w:family w:val="swiss"/>
    <w:pitch w:val="variable"/>
  </w:font>
  <w:font w:name="Segoe UI Emoji">
    <w:charset w:val="ba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en-US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6df9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6df9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df9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df9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6df9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6df9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6df9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6df9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6df9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6c6df9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6c6df9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6c6df9"/>
    <w:rPr>
      <w:rFonts w:eastAsia="" w:cs="" w:cstheme="majorBidi" w:eastAsiaTheme="majorEastAsia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6c6df9"/>
    <w:rPr>
      <w:rFonts w:eastAsia="" w:cs="" w:cstheme="majorBidi" w:eastAsiaTheme="majorEastAsia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6c6df9"/>
    <w:rPr>
      <w:rFonts w:eastAsia="" w:cs="" w:cstheme="majorBidi" w:eastAsiaTheme="majorEastAsia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6c6df9"/>
    <w:rPr>
      <w:rFonts w:eastAsia="" w:cs="" w:cstheme="majorBidi" w:eastAsiaTheme="majorEastAsia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6c6df9"/>
    <w:rPr>
      <w:rFonts w:eastAsia="" w:cs="" w:cstheme="majorBidi" w:eastAsiaTheme="majorEastAsia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6c6df9"/>
    <w:rPr>
      <w:rFonts w:eastAsia="" w:cs="" w:cstheme="majorBidi" w:eastAsiaTheme="majorEastAsia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6c6df9"/>
    <w:rPr>
      <w:rFonts w:eastAsia="" w:cs="" w:cstheme="majorBidi" w:eastAsiaTheme="majorEastAsia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qFormat/>
    <w:rsid w:val="006c6df9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6c6df9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6c6df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6c6df9"/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6c6d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6df9"/>
    <w:rPr>
      <w:b/>
      <w:bCs/>
      <w:smallCaps/>
      <w:color w:val="2F5496" w:themeColor="accent1" w:themeShade="bf"/>
      <w:spacing w:val="5"/>
    </w:rPr>
  </w:style>
  <w:style w:type="character" w:styleId="InternetLink">
    <w:name w:val="Hyperlink"/>
    <w:basedOn w:val="DefaultParagraphFont"/>
    <w:uiPriority w:val="99"/>
    <w:unhideWhenUsed/>
    <w:rsid w:val="000366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0366d3"/>
    <w:rPr>
      <w:color w:val="605E5C"/>
      <w:shd w:fill="E1DFDD" w:val="clear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  <w:style w:type="paragraph" w:styleId="Title">
    <w:name w:val="Title"/>
    <w:basedOn w:val="Normal"/>
    <w:next w:val="Normal"/>
    <w:link w:val="TitleChar"/>
    <w:uiPriority w:val="10"/>
    <w:qFormat/>
    <w:rsid w:val="006c6df9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df9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6df9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6df9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6c6df9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smartaccountai.lt/" TargetMode="External"/><Relationship Id="rId3" Type="http://schemas.openxmlformats.org/officeDocument/2006/relationships/hyperlink" Target="https://www.smartaccountai.lt/" TargetMode="External"/><Relationship Id="rId4" Type="http://schemas.openxmlformats.org/officeDocument/2006/relationships/hyperlink" Target="https://www.smartaccountai.lt/" TargetMode="External"/><Relationship Id="rId5" Type="http://schemas.openxmlformats.org/officeDocument/2006/relationships/hyperlink" Target="https://www.smartaccountai.lt/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LibreOffice/7.3.4.2$Windows_X86_64 LibreOffice_project/728fec16bd5f605073805c3c9e7c4212a0120dc5</Application>
  <AppVersion>15.0000</AppVersion>
  <Pages>9</Pages>
  <Words>1532</Words>
  <Characters>10604</Characters>
  <CharactersWithSpaces>11884</CharactersWithSpaces>
  <Paragraphs>190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2026-03-19T13:38:00Z</dcterms:created>
  <dc:creator>Daniel Waitkunas</dc:creator>
  <dc:description/>
  <dc:language>en-US</dc:language>
  <cp:lastModifiedBy>Daniel Waitkunas</cp:lastModifiedBy>
  <dcterms:modified xsi:type="dcterms:W3CDTF">2026-03-19T14:00:00Z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